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Podsumowanie 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przeprowadzenia strategicznej oceny oddzia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ływania na środowisko </w:t>
      </w:r>
    </w:p>
    <w:p>
      <w:pPr>
        <w:spacing w:before="120" w:after="120" w:line="24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do dokumentu pn. 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zmiana miejscowego planu zagospodarowania przestrzennego </w:t>
        <w:br/>
        <w:t xml:space="preserve">wsi Chudoba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” przyj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ętego Uchwałą Nr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XXXVI/226/18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 </w:t>
        <w:br/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Rady Gminy Lasowice Wielkie  z dnia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31 stycznia 2018 r.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color w:val="00B0F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Zakres niniejszego podsumowania strategicznej oceny oddzia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ływania na środowisko określono na podstawie art. 55 ust. 3 ustawy z dnia 3 października 2008r. o udostępnianiu informacji o środowisku i jego ochronie, udziale społeczeństwa w ochronie środowiska oraz o ocenach oddziaływania na środowisko 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0"/>
          <w:shd w:fill="auto" w:val="clear"/>
        </w:rPr>
        <w:t xml:space="preserve">(Dz.U. z 2017 r. poz.1405).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Century Gothic" w:hAnsi="Century Gothic" w:cs="Century Gothic" w:eastAsia="Century Gothic"/>
          <w:color w:val="00B0F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360" w:hanging="36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Uzasadnienie wyboru przyj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ętego dokumentu w odniesieniu do rozpatrywanych rozwiązań alternatywnych.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Przedmiotem ustale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ń zmiany Planu są tereny o następujących oznaczeniach: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tereny zabudowy mieszkaniowej jednorodzinnej, oznaczone symbolem MN,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tereny zabudowy zagrodowej, oznaczone symbolem RM,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KDW ustala si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 przeznaczenie jako dr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óg wewn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ętrznych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Pozosta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łe przeznaczenie teren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pozostaje bez zmian, jak w obowi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ązującym Miejscowym Planem Zagospodarowania Przestrzennego wsi Chudoba” Zmianami Planu objęto tereny MN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zabudowa mieszkaniowa, MR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zabudowa zagrodowa, tereny obiekt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produkcyjnych, sk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ład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ów, magazynów oraz zabudowy us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ługowej zmiany te spowodowały nieznaczne zmiany w obowiązującym Planie dla wsi Chudoba na terenach R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terenach rolnych, Zl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terenach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łąk, PU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terenach tereny obiekt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produkcyjnych, sk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ład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ów, magazynów oraz zabudowy us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ługowej oraz WS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terenach 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ód powierzchniowych zatwierdzonym Uchwa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łą Nr XXXV-246/10 Rady Gminy w Lasowicach Wielkich z dnia 24 lutego 2010 r.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Brak realizacji ustale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ń projektu zmiany Planu spowoduje utrzymanie istniejącego stanu środowiska. Mogą nastąpić zmiany zagospodarowania wynikające z uzyskanych decyzji o warunkach zabudowy i zagospodarowania terenu, decyzji o pozwoleniu na budowę, co może sprzyjać procesowi suburbanizacji, nieefektywnemu wykorzystaniu teren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i rozpraszaniu zabudowy poza obszary uzbrojone i skomunikowane. Zahamowane zostan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działania zmierzające do wprowadzenia ładu przestrzennego i wdrożenia zasad zr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ównowa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żonego rozwoju i ochrony środowiska. Brak realizacji ustaleń projektu zmiany Planu nie wpłynie negatywnie na tendencje zmian w środowisku. Zaniechanie opracowania miejscowych plan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zagospodarowania przestrzennego zgodnych z ustaleniami Studium dotycz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ącymi zasad ochrony środowiska i jego zasob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ów, ochrony przyrody i krajobrazu kulturowego mo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że mieć dla środowiska negatywnie skutki. W przypadku braku realizacji ustaleń projektu zmiany Planu, zostanie także ograniczona możliwość rozwoju i aktywizacja teren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wsi Chudoba.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360" w:hanging="36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Sposób i zakres uwzgl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ędnienia ustaleń zawartych w Prognozie oddziaływania na środowisko.</w:t>
      </w:r>
    </w:p>
    <w:p>
      <w:pPr>
        <w:spacing w:before="120" w:after="0" w:line="240"/>
        <w:ind w:right="0" w:left="0" w:firstLine="284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 zmianie miejscowego planu zagospodarowania przestrzennego utrzymane zosta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ły zapisy mające na celu zapobieganie lub ograniczenie negatywnych wpływ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na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środowisko.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0"/>
          <w:shd w:fill="auto" w:val="clear"/>
        </w:rPr>
        <w:t xml:space="preserve">Emisja ha</w:t>
      </w: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0"/>
          <w:shd w:fill="auto" w:val="clear"/>
        </w:rPr>
        <w:t xml:space="preserve">łasu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ównym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źr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ód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łem hałasu we wsi Chudoba są przebiegające przez jej obszar gminy droga wojew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ódzka nr 494 oraz linia kolejowa nr 175 Fosowskie-Kluczbork. Na terenie gminy i so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łectwa Chudoba nie prowadzono pomiar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nat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ężenia hałasu. Przeprowadzone prace terenowe nie wykazały uciążliwych emitor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ha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łasu. Istniejące na terenie wsi obiekty produkcyjne, przemysłowe i usługowe ograniczają emisję hałasu do granic działek, na kt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órych s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zlokalizowane. Tereny zabudowy zagrodowej i mieszkaniowej w obowiązującym planie są objęte ochroną akustyczną.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0"/>
          <w:shd w:fill="auto" w:val="clear"/>
        </w:rPr>
        <w:t xml:space="preserve">Wody powierzchniowe i podziemne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Na terenie Chudoby brak jest punktów monitoringowych wód podziemnych. Monitoring jako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ści zwykłych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ód podziemnych na terenie gminy obejmowa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 jedynie otw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ór badawczy nr 618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 Kluczbork Chocianowice zlokalizowany w po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łudniowej części GZWP nr 324 Dolina Kopalna Kluczbork. Punkt ten jest zlokalizowany w obrębie jednolitej części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ód podziemnych (JCWPd) nr PLGW631093; ujmuje on wody czwartorz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ędowe i charakteryzuje się swobodnym zwierciadłem wody. Według Programu Wodno-Środowiskowego Kraju stan ilościowy i chemiczny JCWPd nr 93 został oceniony jako dobry, brak jest r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ównie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ż ryzyka nieosiągnięcia cel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ów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środowiskowych do roku 2015. Wody te w świetle badań z lat 2010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 2013 charakteryzuj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ą się dobrym stanem chemicznym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ód podziemnych o dostatecznej wiarygodno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ści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0"/>
          <w:shd w:fill="auto" w:val="clear"/>
        </w:rPr>
        <w:t xml:space="preserve">Powierzchnia terenu, gleby i kopaliny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W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świetle analizy map sozologicznych oraz w trakcie badań terenowych, grunty antropogeniczne o miąższości do 2 m stwierdzono jedynie w centralnej części Chudoby. </w:t>
        <w:br/>
        <w:t xml:space="preserve">W związku z niekorzystną sytuacją demograficzną i niewielkim tempem urbanizacji przewiduje się bardzo niewielki wzrost odsetka grunt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ów antropogenicznych na terenie gminy.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0"/>
          <w:shd w:fill="auto" w:val="clear"/>
        </w:rPr>
        <w:t xml:space="preserve">Emisja pól elektromagnetycznych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Monitoring poziomu pól elektromagnetycznych na terenie gminy Lasowice Wielkie w roku 2015.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Średnia arytmetyczna zmierzonych wartości skutecznych natężeń p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ól elektromagnetycznych promieniowania elektromagnetycznego dla zakresu cz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ęstotliwości od 3 MHz do 3000 MHz uzyskanych w 2015 roku w badanych punktach nie przekroczyła wartości dopuszczalnej składowej elektrycznej wynoszącej 7 V/m i wynosiła &lt;0,4 V/m. W związku z tym spełnione są wymagania odnośnie dopuszczalnych poziom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ów pól elektromagnetycznych, jakie mog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ą występować w środowisku.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0"/>
          <w:shd w:fill="auto" w:val="clear"/>
        </w:rPr>
        <w:t xml:space="preserve">Ryzyko wyst</w:t>
      </w: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0"/>
          <w:shd w:fill="auto" w:val="clear"/>
        </w:rPr>
        <w:t xml:space="preserve">ąpienia poważnych awarii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Na terenie obj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ętym projektem zmiany Planu nie ma zakład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o zwi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ększonym lub dużym ryzyku wystąpienia poważnej awarii przemysłowej oraz instalacji mogących powodować znaczne zanieczyszczenie poszczeg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ólnych elementów przyrodniczych albo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środowiska.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360" w:hanging="36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Informacja o sposobie i zakresie uwzgl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ędnienia opinii Regionalnego Dyrektora Ochrony Środowiska oraz Państwowego Powiatowego Inspektora Sanitarnego.</w:t>
      </w:r>
    </w:p>
    <w:p>
      <w:pPr>
        <w:numPr>
          <w:ilvl w:val="0"/>
          <w:numId w:val="13"/>
        </w:numPr>
        <w:spacing w:before="0" w:after="0" w:line="240"/>
        <w:ind w:right="0" w:left="360" w:hanging="360"/>
        <w:jc w:val="both"/>
        <w:rPr>
          <w:rFonts w:ascii="Century Gothic" w:hAnsi="Century Gothic" w:cs="Century Gothic" w:eastAsia="Century Gothic"/>
          <w:color w:val="00B0F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Wójt Gminy Lasowice Wielkie wyst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ąpił o uzgodnienie zakresu i stopnia szczeg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łowości informacji wymaganych w prognozie oddziaływania na środowisko dla projektu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zmiany miejscowego planu zagospodarowania przestrzennego” zgodnie z</w:t>
      </w:r>
      <w:r>
        <w:rPr>
          <w:rFonts w:ascii="Century Gothic" w:hAnsi="Century Gothic" w:cs="Century Gothic" w:eastAsia="Century Gothic"/>
          <w:color w:val="00B0F0"/>
          <w:spacing w:val="0"/>
          <w:position w:val="0"/>
          <w:sz w:val="20"/>
          <w:shd w:fill="auto" w:val="clear"/>
        </w:rPr>
        <w:t xml:space="preserve">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art.53 powy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ższej ustawy do organ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ów: Regionalnego Dyrektora Ochrony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Środowiska w Opolu i Państwowego Powiatowego Inspektora Sanitarnego w Kluczborku.</w:t>
      </w:r>
    </w:p>
    <w:p>
      <w:pPr>
        <w:numPr>
          <w:ilvl w:val="0"/>
          <w:numId w:val="13"/>
        </w:numPr>
        <w:spacing w:before="0" w:after="0" w:line="240"/>
        <w:ind w:right="0" w:left="36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Opiniowanie przez Regionalnego Dyrektora Ochrony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Środowiska w Kluczborku:</w:t>
      </w:r>
    </w:p>
    <w:p>
      <w:pPr>
        <w:numPr>
          <w:ilvl w:val="0"/>
          <w:numId w:val="13"/>
        </w:numPr>
        <w:tabs>
          <w:tab w:val="left" w:pos="2367" w:leader="none"/>
        </w:tabs>
        <w:spacing w:before="0" w:after="0" w:line="240"/>
        <w:ind w:right="0" w:left="720" w:hanging="567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Regionalny Dyrektor Ochrony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Środowiska pismem z dnia 22 listopada 2016 r. uzgodnił proponowany zakres i stopień szczeg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łowości informacji wymaganych w prognozie oddziaływania na środowisko. </w:t>
      </w:r>
    </w:p>
    <w:p>
      <w:pPr>
        <w:numPr>
          <w:ilvl w:val="0"/>
          <w:numId w:val="13"/>
        </w:numPr>
        <w:tabs>
          <w:tab w:val="left" w:pos="2367" w:leader="none"/>
        </w:tabs>
        <w:spacing w:before="0" w:after="0" w:line="240"/>
        <w:ind w:right="0" w:left="720" w:hanging="567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Regionalny Dyrektor Ochrony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Środowiska pismem z dnia 17 lipca 2017 r.  zaopiniował projekt pozytywnie bez uwag.</w:t>
      </w:r>
    </w:p>
    <w:p>
      <w:pPr>
        <w:numPr>
          <w:ilvl w:val="0"/>
          <w:numId w:val="13"/>
        </w:numPr>
        <w:spacing w:before="0" w:after="0" w:line="240"/>
        <w:ind w:right="0" w:left="36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Opiniowanie przez Pa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ństwowego Powiatowego Inspektora Sanitarnego:</w:t>
      </w:r>
    </w:p>
    <w:p>
      <w:pPr>
        <w:numPr>
          <w:ilvl w:val="0"/>
          <w:numId w:val="13"/>
        </w:numPr>
        <w:tabs>
          <w:tab w:val="left" w:pos="2367" w:leader="none"/>
        </w:tabs>
        <w:spacing w:before="0" w:after="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Pa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ństwowy Powiatowy Inspektor Sanitarny pismem z dnia 21 listopada 2016 r. uzgodnił pozytywnie przedstawiony zakres i stopień szczeg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łowości informacji wymaganych </w:t>
        <w:br/>
        <w:t xml:space="preserve">w prognozie oddziaływania na środowisko. </w:t>
      </w:r>
    </w:p>
    <w:p>
      <w:pPr>
        <w:numPr>
          <w:ilvl w:val="0"/>
          <w:numId w:val="13"/>
        </w:numPr>
        <w:tabs>
          <w:tab w:val="left" w:pos="2367" w:leader="none"/>
        </w:tabs>
        <w:spacing w:before="0" w:after="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Pa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ństwowy Powiatowy Inspektor Sanitarny pismem z dnia 11 lipca 2017 r. nr  zaopiniował pozytywnie projekt zmiany planu.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00B0F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Zg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łoszone wnioski i uwagi.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Udzia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 społeczeństwa w opracowaniu projektu miejscowego planu zagospodarowania przestrzennego został zapewniony poprzez:</w:t>
      </w:r>
    </w:p>
    <w:p>
      <w:pPr>
        <w:numPr>
          <w:ilvl w:val="0"/>
          <w:numId w:val="21"/>
        </w:numPr>
        <w:spacing w:before="0" w:after="0" w:line="240"/>
        <w:ind w:right="0" w:left="284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Podanie do publicznej wiadomo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ści informacji o przystąpieniu do sporządzenia zmiany miejscowego planu zagospodarowania przestrzennego poprzez: </w:t>
      </w:r>
    </w:p>
    <w:p>
      <w:pPr>
        <w:numPr>
          <w:ilvl w:val="0"/>
          <w:numId w:val="21"/>
        </w:numPr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łoszenie  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ójta Gminy Lasowice Wielkie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 wsi Chudoba zamieszczone w dniu 3 listopada 2016r. w gazecie Kulisy Powiatu Kluczbork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Olesno Nr 44 (671)</w:t>
      </w:r>
    </w:p>
    <w:p>
      <w:pPr>
        <w:numPr>
          <w:ilvl w:val="0"/>
          <w:numId w:val="21"/>
        </w:numPr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 wsi Lasowice Wielkie, zamieszczone w Biuletynie Informacji Publicznej Urzędu Gminy</w:t>
      </w:r>
    </w:p>
    <w:p>
      <w:pPr>
        <w:numPr>
          <w:ilvl w:val="0"/>
          <w:numId w:val="21"/>
        </w:numPr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 wsi Chudoba wywieszone na tablicy ogłoszeń Urzędu Gminy</w:t>
      </w:r>
    </w:p>
    <w:p>
      <w:pPr>
        <w:numPr>
          <w:ilvl w:val="0"/>
          <w:numId w:val="21"/>
        </w:numPr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 wsi Chudoba przesłane do Sołtysa Wsi Chudoba wraz ze zwrotnym potwierdzeniem odbioru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Zawiadomienia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przestrzennego, skierowane do organ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 i instytucji.</w:t>
      </w:r>
    </w:p>
    <w:p>
      <w:pPr>
        <w:spacing w:before="0" w:after="0" w:line="240"/>
        <w:ind w:right="0" w:left="284" w:firstLine="436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 wyniku wszcz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ętej procedury formalno - prawnej zawiadamiania/ogłaszania  o przystąpieniu do sporządzania projektu zmiany planu wpłynęły wnioski: 14 instytucji właściwych do opiniowania i uzgadniania planu, oraz pozostałych,  kt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óre zosta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ły rozpatrzone przez 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ójta Gminy zgodnie  z procedur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formalną. Po obwieszczeniu w prasie  o przystąpieniu do opracowania w/w projektu zmiany planu, w terminie zawartym w ogłoszeniu nie wpłynęły wnioski indywidualne. </w:t>
      </w:r>
    </w:p>
    <w:p>
      <w:pPr>
        <w:numPr>
          <w:ilvl w:val="0"/>
          <w:numId w:val="25"/>
        </w:numPr>
        <w:spacing w:before="0" w:after="0" w:line="240"/>
        <w:ind w:right="0" w:left="284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Podanie do publicznej wiadomo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ści informacji o wyłożeniu do publicznego wglądu projektu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zmiany miejscowego planu zagospodarowania przestrzennego” wraz z prognoz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ą oddziaływania na środowisko poprzedzone: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łoszenie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ójta Gminy Lasowice Wielkie o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zmieszczone w gazecie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Kulisy Powiatu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”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  Nr 39(718) w dniu 28 wrze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śnia 2017r.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łoszenie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ójta Gminy Lasowice Wielkie o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zmieszczone w Biuletynie Informacji Publicznej Urzędu Gminy Lasowice Wielkie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wy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wywieszone na tablicach ogłoszeń Urzędu Gminy Lasowice Wielkie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wy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przesłane do Sołtysa Wsi Chudoba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Projekt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zmiany miejscowego planu zagospodarowania przestrzennego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”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 wraz z prognoz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oddziaływania na środowisko wyłożony był do publicznego wglądu w dniach od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5 października 2017 r. do 3 listopada 2017 r. </w:t>
      </w:r>
      <w:r>
        <w:rPr>
          <w:rFonts w:ascii="Century Gothic" w:hAnsi="Century Gothic" w:cs="Century Gothic" w:eastAsia="Century Gothic"/>
          <w:color w:val="auto"/>
          <w:spacing w:val="-8"/>
          <w:position w:val="0"/>
          <w:sz w:val="20"/>
          <w:shd w:fill="auto" w:val="clear"/>
        </w:rPr>
        <w:t xml:space="preserve">w siedzibie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Referatu Gospodarki Komunalnej, Urząd Gminy Lasowice Wielkie, Lasowice Wielkie 99A, 46-282 Lasowice Wielkie, a dyskusja publiczna nad przyjętymi w projekcie zmiany planu rozwiązaniami odbyła się w dniu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18 października  2017 r.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, w budynku Urzędu Gminy Lasowice Wielkie sala nr 4 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o godz. 14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  <w:vertAlign w:val="superscript"/>
        </w:rPr>
        <w:t xml:space="preserve">00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 obligatoryjnym terminie tj. do dnia 17.11.2017 r. w terminie zawartym w og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łoszeniu wniesiono jedną uwagę kt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óra zosta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ła rozpatrzona przez 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ójta Gminy zgodnie z procedur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formalną. </w:t>
      </w:r>
    </w:p>
    <w:p>
      <w:pPr>
        <w:numPr>
          <w:ilvl w:val="0"/>
          <w:numId w:val="29"/>
        </w:numPr>
        <w:spacing w:before="0" w:after="0" w:line="240"/>
        <w:ind w:right="0" w:left="284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Podanie do publicznej wiadomo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ści informacji o ponownym wyłożeniu do publicznego wglądu projektu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zmiany miejscowego planu zagospodarowania przestrzennego” wraz z prognoz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ą oddziaływania na środowisko poprzedzone:</w:t>
      </w:r>
    </w:p>
    <w:p>
      <w:pPr>
        <w:numPr>
          <w:ilvl w:val="0"/>
          <w:numId w:val="29"/>
        </w:numPr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łoszenie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ójta Gminy Lasowice Wielkie o ponownym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środowisko, zmieszczone w gazecie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Kulisy Powiatu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”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 Nr 47(726) w dniu 23 listopada 2017r.</w:t>
      </w:r>
    </w:p>
    <w:p>
      <w:pPr>
        <w:numPr>
          <w:ilvl w:val="0"/>
          <w:numId w:val="29"/>
        </w:numPr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łoszenie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ójta Gminy Lasowice Wielkie o ponownym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zmieszczone w Biuletynie Informacji Publicznej Urzędu Gminy Lasowice Wielkie</w:t>
      </w:r>
    </w:p>
    <w:p>
      <w:pPr>
        <w:numPr>
          <w:ilvl w:val="0"/>
          <w:numId w:val="29"/>
        </w:numPr>
        <w:spacing w:before="0" w:after="20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Obwieszczenie Wójta Gminy Lasowice Wielkie o ponownym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wywieszone na tablicach ogłoszeń Urzędu Gminy Lasowice Wielkie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 obligatoryjnym terminie tj. do dnia 17.01.2018 r. w terminie zawartym w og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łoszeniu uwag nie wniesiono.</w:t>
      </w:r>
    </w:p>
    <w:p>
      <w:pPr>
        <w:numPr>
          <w:ilvl w:val="0"/>
          <w:numId w:val="32"/>
        </w:numPr>
        <w:tabs>
          <w:tab w:val="left" w:pos="720" w:leader="none"/>
        </w:tabs>
        <w:spacing w:before="0" w:after="0" w:line="240"/>
        <w:ind w:right="0" w:left="360" w:hanging="36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Wyniki post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ępowania dotyczącego transgranicznego oddziaływania  na środowisko.</w:t>
      </w:r>
    </w:p>
    <w:p>
      <w:pPr>
        <w:spacing w:before="0" w:after="0" w:line="240"/>
        <w:ind w:right="0" w:left="36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Ocena skutków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środowiskowych związanych projektem zmiany Planu dla wsi Chudoba pozwala na og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óln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konstatację, iż ich urzeczywistnieniu nie będą towarzyszyły oddziaływania transgraniczne. </w:t>
      </w:r>
    </w:p>
    <w:p>
      <w:pPr>
        <w:numPr>
          <w:ilvl w:val="0"/>
          <w:numId w:val="34"/>
        </w:numPr>
        <w:tabs>
          <w:tab w:val="left" w:pos="720" w:leader="none"/>
        </w:tabs>
        <w:spacing w:before="0" w:after="0" w:line="240"/>
        <w:ind w:right="0" w:left="360" w:hanging="36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Propozycje dotycz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ące metod i częstotliwości przeprowadzenia monitoringu skutk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ów realizacji postanowie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ń dokumentu.</w:t>
      </w:r>
    </w:p>
    <w:p>
      <w:pPr>
        <w:spacing w:before="0" w:after="0" w:line="240"/>
        <w:ind w:right="0" w:left="426" w:firstLine="283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Na etapie projektu planu nie wprowadza si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 konkretnych rozwiązań mających na celu analizę skutk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jego realizacji oraz cz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ęstotliwości jej przeprowadzania. Oddziaływanie na środowisko, nawet przy pełnej realizacji przedmiotowego dokumentu, nie powinno zmienić się na tyle by konieczne było wprowadzenie nowych narzędzi i metod obserwacji środowiska. </w:t>
      </w:r>
    </w:p>
    <w:p>
      <w:pPr>
        <w:spacing w:before="0" w:after="0" w:line="240"/>
        <w:ind w:right="0" w:left="426" w:firstLine="425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Na obszarze obj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ętym projektem miejscowego planu nie występują obszary cenne przyrodniczo w tym ustanowione: obszary NATURA 2000, rezerwaty przyrody, parki narodowe lub krajobrazowe, zespoły przyrodniczo-krajobrazowe, użytki ekologiczne, stanowiska dokumentacyjne, pomniki przyrody. Nie występują udokumentowane złoża kopalin oraz ustanowione obszary lub tereny 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órnicze. Projekt zmiany Planu respektuje konieczno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ść utrzymania i dbałość o krajobraz kulturowy w ramach Obszaru Chronionego Krajobrazu Las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Stobrawsko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Turawskich.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 procedurze sporz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ądzania dokumentu p.n.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Zmiana miejscowego planu zagospodarowania przestrzennego wsi Chudoba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” wymogi ustawy z dnia 3 pa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ździernika 2008r. o udostępnianiu informacji  o środowisku i jego ochronie, udziale społeczeństwa w ochronie środowiska oraz o ocenach oddziaływania środowisko, zostały spełnione.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00B0F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0">
    <w:abstractNumId w:val="42"/>
  </w:num>
  <w:num w:numId="13">
    <w:abstractNumId w:val="36"/>
  </w:num>
  <w:num w:numId="19">
    <w:abstractNumId w:val="30"/>
  </w:num>
  <w:num w:numId="21">
    <w:abstractNumId w:val="24"/>
  </w:num>
  <w:num w:numId="25">
    <w:abstractNumId w:val="18"/>
  </w:num>
  <w:num w:numId="29">
    <w:abstractNumId w:val="12"/>
  </w:num>
  <w:num w:numId="32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