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zamówień publicznych (Dz. U. z 2019 r. poz. 2019)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444F39">
        <w:rPr>
          <w:rFonts w:ascii="Arial" w:hAnsi="Arial" w:cs="Arial"/>
          <w:b/>
        </w:rPr>
        <w:t>Przeb</w:t>
      </w:r>
      <w:r w:rsidR="00F849C1">
        <w:rPr>
          <w:rFonts w:ascii="Arial" w:hAnsi="Arial" w:cs="Arial"/>
          <w:b/>
        </w:rPr>
        <w:t xml:space="preserve">udowa </w:t>
      </w:r>
      <w:r w:rsidR="00BA1F3B">
        <w:rPr>
          <w:rFonts w:ascii="Arial" w:hAnsi="Arial" w:cs="Arial"/>
          <w:b/>
        </w:rPr>
        <w:t>drogi dojazdowej do gruntów rolnych w miejscowości Chocianowice</w:t>
      </w:r>
      <w:r w:rsidR="00444F39">
        <w:rPr>
          <w:rFonts w:ascii="Arial" w:hAnsi="Arial" w:cs="Arial"/>
          <w:b/>
        </w:rPr>
        <w:t xml:space="preserve"> (od drogi powiatowej nr 1328 O do cmentarza</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BA1F3B">
        <w:rPr>
          <w:rFonts w:ascii="Arial" w:hAnsi="Arial" w:cs="Arial"/>
          <w:caps/>
        </w:rPr>
        <w:t>ZP.271.3</w:t>
      </w:r>
      <w:r w:rsidR="007E1A77">
        <w:rPr>
          <w:rFonts w:ascii="Arial" w:hAnsi="Arial" w:cs="Arial"/>
          <w:caps/>
        </w:rPr>
        <w:t>.2021</w:t>
      </w:r>
    </w:p>
    <w:p w:rsidR="007E1A77" w:rsidRDefault="00142BE0" w:rsidP="00142BE0">
      <w:pPr>
        <w:tabs>
          <w:tab w:val="center" w:pos="4536"/>
          <w:tab w:val="left" w:pos="6945"/>
        </w:tabs>
        <w:spacing w:before="600" w:after="600" w:line="360" w:lineRule="auto"/>
        <w:jc w:val="center"/>
        <w:rPr>
          <w:rFonts w:ascii="Arial" w:hAnsi="Arial" w:cs="Arial"/>
          <w:caps/>
        </w:rPr>
      </w:pPr>
      <w:r>
        <w:rPr>
          <w:rFonts w:ascii="Arial" w:hAnsi="Arial" w:cs="Arial"/>
          <w:caps/>
        </w:rPr>
        <w:t xml:space="preserve">Zadanie dofinansowane ze środków </w:t>
      </w:r>
      <w:r>
        <w:rPr>
          <w:rFonts w:ascii="Arial" w:hAnsi="Arial" w:cs="Arial"/>
          <w:caps/>
        </w:rPr>
        <w:br/>
        <w:t>budżetu województwa opolskiego</w:t>
      </w:r>
    </w:p>
    <w:p w:rsidR="00142BE0" w:rsidRPr="007E1A77" w:rsidRDefault="00142BE0"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BA1F3B">
        <w:rPr>
          <w:rFonts w:cs="Arial"/>
          <w:sz w:val="24"/>
          <w:szCs w:val="24"/>
        </w:rPr>
        <w:t>lipiec</w:t>
      </w:r>
      <w:r w:rsidR="002D6DAD">
        <w:rPr>
          <w:rFonts w:cs="Arial"/>
          <w:sz w:val="24"/>
          <w:szCs w:val="24"/>
        </w:rPr>
        <w:t xml:space="preserve">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A63B5D" w:rsidRDefault="00A63B5D" w:rsidP="007753CE">
      <w:pPr>
        <w:tabs>
          <w:tab w:val="left" w:pos="540"/>
        </w:tabs>
        <w:spacing w:before="240" w:line="360" w:lineRule="auto"/>
        <w:ind w:left="284"/>
        <w:jc w:val="both"/>
        <w:rPr>
          <w:rFonts w:ascii="Arial" w:hAnsi="Arial" w:cs="Arial"/>
          <w:bCs/>
          <w:sz w:val="20"/>
          <w:szCs w:val="20"/>
        </w:rPr>
      </w:pPr>
      <w:r w:rsidRPr="00A63B5D">
        <w:rPr>
          <w:rFonts w:ascii="Arial" w:hAnsi="Arial" w:cs="Arial"/>
          <w:bCs/>
          <w:sz w:val="20"/>
          <w:szCs w:val="20"/>
        </w:rPr>
        <w:t>a637a650-452b-4613-9ceb-4448818e589a</w:t>
      </w:r>
      <w:bookmarkStart w:id="0" w:name="_GoBack"/>
      <w:bookmarkEnd w:id="0"/>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E365C9">
      <w:pPr>
        <w:pStyle w:val="Akapitzlist"/>
        <w:numPr>
          <w:ilvl w:val="0"/>
          <w:numId w:val="21"/>
        </w:numPr>
        <w:tabs>
          <w:tab w:val="clear" w:pos="595"/>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716897" w:rsidRPr="00716897">
        <w:rPr>
          <w:rFonts w:ascii="Arial" w:hAnsi="Arial" w:cs="Arial"/>
          <w:b/>
          <w:sz w:val="20"/>
        </w:rPr>
        <w:t>Przebudowa drogi dojazdowej do gruntów rolnych w miejscowości Chocianowice (od drogi powiatowej nr 1328 O do cmentarza</w:t>
      </w:r>
      <w:r w:rsidR="00716897">
        <w:rPr>
          <w:rFonts w:ascii="Arial" w:hAnsi="Arial" w:cs="Arial"/>
          <w:b/>
          <w:sz w:val="20"/>
        </w:rPr>
        <w:t>)</w:t>
      </w:r>
      <w:r w:rsidR="0071108F">
        <w:rPr>
          <w:rFonts w:ascii="Arial" w:hAnsi="Arial" w:cs="Arial"/>
          <w:sz w:val="20"/>
        </w:rPr>
        <w:t xml:space="preserve">. </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716897" w:rsidP="0071108F">
      <w:pPr>
        <w:pStyle w:val="Akapitzlist"/>
        <w:numPr>
          <w:ilvl w:val="1"/>
          <w:numId w:val="21"/>
        </w:numPr>
        <w:spacing w:line="360" w:lineRule="auto"/>
        <w:ind w:left="709" w:hanging="283"/>
        <w:jc w:val="both"/>
        <w:rPr>
          <w:rFonts w:ascii="Arial" w:hAnsi="Arial" w:cs="Arial"/>
          <w:sz w:val="20"/>
          <w:szCs w:val="20"/>
        </w:rPr>
      </w:pPr>
      <w:r w:rsidRPr="00716897">
        <w:rPr>
          <w:rFonts w:ascii="Arial" w:hAnsi="Arial" w:cs="Arial"/>
          <w:sz w:val="20"/>
          <w:szCs w:val="20"/>
        </w:rPr>
        <w:t>Przebudowa drogi dojazdowej do gruntów rolnych w miejscowości Chocianowice (od drogi powiatowej nr 1328 O do cmentarza</w:t>
      </w:r>
      <w:r w:rsidR="0071108F" w:rsidRPr="0071108F">
        <w:rPr>
          <w:rFonts w:ascii="Arial" w:hAnsi="Arial" w:cs="Arial"/>
          <w:sz w:val="20"/>
          <w:szCs w:val="20"/>
        </w:rPr>
        <w:t xml:space="preserve"> o długości 637 m, w szczególności:</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trasy zasadniczej z betonu asfaltowego,</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zjazdów na posesje i drogi gruntowe,</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profilu podłużnego,</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odwodnienia</w:t>
      </w:r>
    </w:p>
    <w:p w:rsidR="00613742" w:rsidRPr="00F744D4"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sz w:val="20"/>
        </w:rPr>
        <w:t xml:space="preserve">45100000-8 – </w:t>
      </w:r>
      <w:r w:rsidRPr="00E457EA">
        <w:rPr>
          <w:rFonts w:ascii="Arial" w:hAnsi="Arial" w:cs="Arial"/>
          <w:bCs/>
          <w:sz w:val="20"/>
        </w:rPr>
        <w:t>Przygotowanie terenu pod budowę</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sz w:val="20"/>
        </w:rPr>
        <w:t xml:space="preserve">45110000-1 – </w:t>
      </w:r>
      <w:r w:rsidRPr="00E457EA">
        <w:rPr>
          <w:rFonts w:ascii="Arial" w:hAnsi="Arial" w:cs="Arial"/>
          <w:bCs/>
          <w:sz w:val="20"/>
        </w:rPr>
        <w:t>Roboty w zakresie burzenia i rozbiórki obiektów budowlanych; roboty ziemne</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45111000-8 </w:t>
      </w:r>
      <w:r>
        <w:rPr>
          <w:rFonts w:ascii="Arial" w:hAnsi="Arial" w:cs="Arial"/>
          <w:bCs/>
          <w:sz w:val="20"/>
        </w:rPr>
        <w:t>–</w:t>
      </w:r>
      <w:r w:rsidR="00C10600">
        <w:rPr>
          <w:rFonts w:ascii="Arial" w:hAnsi="Arial" w:cs="Arial"/>
          <w:bCs/>
          <w:sz w:val="20"/>
        </w:rPr>
        <w:t xml:space="preserve"> </w:t>
      </w:r>
      <w:r w:rsidRPr="00E457EA">
        <w:rPr>
          <w:rFonts w:ascii="Arial" w:hAnsi="Arial" w:cs="Arial"/>
          <w:bCs/>
          <w:sz w:val="20"/>
        </w:rPr>
        <w:t xml:space="preserve">Roboty w zakresie burzenia, roboty ziemne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lastRenderedPageBreak/>
        <w:t xml:space="preserve">45200000-9 </w:t>
      </w:r>
      <w:r>
        <w:rPr>
          <w:rFonts w:ascii="Arial" w:hAnsi="Arial" w:cs="Arial"/>
          <w:bCs/>
          <w:sz w:val="20"/>
        </w:rPr>
        <w:t xml:space="preserve">– </w:t>
      </w:r>
      <w:r w:rsidRPr="00E457EA">
        <w:rPr>
          <w:rFonts w:ascii="Arial" w:hAnsi="Arial" w:cs="Arial"/>
          <w:bCs/>
          <w:sz w:val="20"/>
        </w:rPr>
        <w:t xml:space="preserve">Roboty budowlane w zakresie wznoszenia kompletnych obiektów budowlanych lub ich części oraz roboty w zakresie inżynierii lądowej i wodnej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45230000-8 </w:t>
      </w:r>
      <w:r>
        <w:rPr>
          <w:rFonts w:ascii="Arial" w:hAnsi="Arial" w:cs="Arial"/>
          <w:bCs/>
          <w:sz w:val="20"/>
        </w:rPr>
        <w:t xml:space="preserve">– </w:t>
      </w:r>
      <w:r w:rsidRPr="00E457EA">
        <w:rPr>
          <w:rFonts w:ascii="Arial" w:hAnsi="Arial" w:cs="Arial"/>
          <w:bCs/>
          <w:sz w:val="20"/>
        </w:rPr>
        <w:t>Roboty budowlane w zakresie budowy rurociągów, linii komunikacyjnych i elektroenergetycznych, autostrad, dróg, lotnisk i kolei; wyrównywanie terenu</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45232000-2 – Roboty pomocnicze w zakresie rurociągów i kabli </w:t>
      </w:r>
    </w:p>
    <w:p w:rsidR="004922BE"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45233000-9</w:t>
      </w:r>
      <w:r w:rsidR="00C10600">
        <w:rPr>
          <w:rFonts w:ascii="Arial" w:hAnsi="Arial" w:cs="Arial"/>
          <w:bCs/>
          <w:sz w:val="20"/>
        </w:rPr>
        <w:t xml:space="preserve"> – </w:t>
      </w:r>
      <w:r w:rsidRPr="00E457EA">
        <w:rPr>
          <w:rFonts w:ascii="Arial" w:hAnsi="Arial" w:cs="Arial"/>
          <w:bCs/>
          <w:sz w:val="20"/>
        </w:rPr>
        <w:t xml:space="preserve">Roboty w zakresie konstruowania, fundamentowania oraz wykonywania nawierzchni autostrad, dróg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4A7F2E">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Pr>
          <w:rFonts w:ascii="Arial" w:hAnsi="Arial" w:cs="Arial"/>
          <w:sz w:val="20"/>
        </w:rPr>
        <w:t>od 01</w:t>
      </w:r>
      <w:r w:rsidR="00E457EA" w:rsidRPr="00E457EA">
        <w:rPr>
          <w:rFonts w:ascii="Arial" w:hAnsi="Arial" w:cs="Arial"/>
          <w:sz w:val="20"/>
        </w:rPr>
        <w:t>.09.2021 r. do 29.10.2021 r</w:t>
      </w:r>
      <w:r w:rsidR="00F849C1" w:rsidRPr="00E457EA">
        <w:rPr>
          <w:rFonts w:ascii="Arial" w:hAnsi="Arial" w:cs="Arial"/>
          <w:b/>
          <w:sz w:val="20"/>
          <w:szCs w:val="24"/>
        </w:rPr>
        <w:t>.</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E317F2" w:rsidRDefault="00141FCB" w:rsidP="00E317F2">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3C514A" w:rsidRPr="003C514A" w:rsidRDefault="003C514A" w:rsidP="003C514A">
      <w:pPr>
        <w:pStyle w:val="Teksttreci0"/>
        <w:numPr>
          <w:ilvl w:val="1"/>
          <w:numId w:val="12"/>
        </w:numPr>
        <w:spacing w:line="360" w:lineRule="auto"/>
        <w:ind w:right="20"/>
        <w:jc w:val="both"/>
        <w:rPr>
          <w:rFonts w:ascii="Arial" w:hAnsi="Arial" w:cs="Arial"/>
          <w:sz w:val="20"/>
          <w:szCs w:val="20"/>
        </w:rPr>
      </w:pPr>
      <w:r w:rsidRPr="003C514A">
        <w:rPr>
          <w:rFonts w:ascii="Arial" w:hAnsi="Arial" w:cs="Arial"/>
          <w:sz w:val="20"/>
          <w:szCs w:val="20"/>
        </w:rPr>
        <w:t xml:space="preserve">w okresie ostatnich 5 lat przed upływem terminu składania ofert, a jeżeli okres prowadzenia działalności jest krótszy - w tym okresie, wykonał należycie co najmniej dwie roboty dotyczące wykonania nawierzchni asfaltowych dróg, o wartości co najmniej </w:t>
      </w:r>
      <w:r w:rsidR="00D351BC">
        <w:rPr>
          <w:rFonts w:ascii="Arial" w:hAnsi="Arial" w:cs="Arial"/>
          <w:sz w:val="20"/>
          <w:szCs w:val="20"/>
        </w:rPr>
        <w:t>40</w:t>
      </w:r>
      <w:r w:rsidRPr="003C514A">
        <w:rPr>
          <w:rFonts w:ascii="Arial" w:hAnsi="Arial" w:cs="Arial"/>
          <w:sz w:val="20"/>
          <w:szCs w:val="20"/>
        </w:rPr>
        <w:t>0.000,00 złotych każda. W przypadku Wykonawców, którzy realizowali zamówienia za wynagrodzeniem innym niż w polskich złotych, Zamawiający przeliczy wartość tych zamówień po średnim kursie złotego, w oparciu o dane NBP z dnia wszczęcia postępowania.</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dysponuje co najmniej jedną osobą, posiadającą uprawnienia budowlane w specjalności drogowej,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 xml:space="preserve">że wykonawca nie posiada wymaganych zdolności, jeżeli posiadanie przez wykonawcę sprzecznych interesów, w </w:t>
      </w:r>
      <w:r w:rsidR="00505F53" w:rsidRPr="000C7661">
        <w:rPr>
          <w:rFonts w:ascii="Arial" w:hAnsi="Arial" w:cs="Arial"/>
          <w:sz w:val="20"/>
          <w:szCs w:val="20"/>
        </w:rPr>
        <w:lastRenderedPageBreak/>
        <w:t>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197AE7" w:rsidRPr="00841801" w:rsidRDefault="00933EC0" w:rsidP="00841801">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810956" w:rsidRPr="000C7661"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sidR="000F4F5C" w:rsidRPr="000C7661">
        <w:rPr>
          <w:rFonts w:ascii="Arial" w:hAnsi="Arial" w:cs="Arial"/>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841801">
        <w:rPr>
          <w:rFonts w:ascii="Arial" w:hAnsi="Arial" w:cs="Arial"/>
          <w:szCs w:val="20"/>
        </w:rPr>
        <w:t xml:space="preserve"> </w:t>
      </w:r>
      <w:r w:rsidR="00444643" w:rsidRPr="000C7661">
        <w:rPr>
          <w:rFonts w:ascii="Arial" w:hAnsi="Arial" w:cs="Arial"/>
          <w:sz w:val="20"/>
          <w:szCs w:val="20"/>
        </w:rPr>
        <w:t xml:space="preserve">- </w:t>
      </w:r>
      <w:r w:rsidR="00444643" w:rsidRPr="00992D88">
        <w:rPr>
          <w:rFonts w:ascii="Arial" w:hAnsi="Arial" w:cs="Arial"/>
          <w:b/>
          <w:bCs/>
          <w:sz w:val="20"/>
          <w:szCs w:val="20"/>
        </w:rPr>
        <w:t xml:space="preserve">załącznik nr </w:t>
      </w:r>
      <w:r w:rsidR="0084180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362B48" w:rsidRPr="003C514A">
        <w:rPr>
          <w:rFonts w:ascii="Arial" w:hAnsi="Arial" w:cs="Arial"/>
          <w:b/>
          <w:sz w:val="20"/>
          <w:szCs w:val="20"/>
        </w:rPr>
        <w:t>nr 5 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co najmniej 1 osobę, posiadającą uprawnienia budowlane w specjalności drogowej,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w:t>
      </w:r>
      <w:r w:rsidR="00B96D9B" w:rsidRPr="000C7661">
        <w:rPr>
          <w:rFonts w:ascii="Arial" w:hAnsi="Arial" w:cs="Arial"/>
          <w:sz w:val="20"/>
          <w:szCs w:val="20"/>
        </w:rPr>
        <w:lastRenderedPageBreak/>
        <w:t>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AF46DE">
        <w:rPr>
          <w:rFonts w:ascii="Arial" w:hAnsi="Arial" w:cs="Arial"/>
          <w:b/>
          <w:bCs/>
          <w:sz w:val="20"/>
          <w:szCs w:val="20"/>
          <w:lang w:val="pl-PL"/>
        </w:rPr>
        <w:t>6</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w:t>
      </w:r>
      <w:r w:rsidR="0055240B" w:rsidRPr="00F34ED9">
        <w:rPr>
          <w:rFonts w:ascii="Arial" w:hAnsi="Arial" w:cs="Arial"/>
          <w:sz w:val="20"/>
          <w:szCs w:val="20"/>
        </w:rPr>
        <w:lastRenderedPageBreak/>
        <w:t>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886690"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886690" w:rsidP="00444F39">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w:t>
      </w:r>
      <w:r w:rsidRPr="003D1CFE">
        <w:rPr>
          <w:rFonts w:ascii="Arial" w:hAnsi="Arial" w:cs="Arial"/>
          <w:sz w:val="20"/>
          <w:szCs w:val="20"/>
        </w:rPr>
        <w:lastRenderedPageBreak/>
        <w:t>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lastRenderedPageBreak/>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886690"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lastRenderedPageBreak/>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lastRenderedPageBreak/>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3C514A">
        <w:rPr>
          <w:rFonts w:ascii="Arial" w:hAnsi="Arial" w:cs="Arial"/>
          <w:sz w:val="20"/>
          <w:szCs w:val="20"/>
        </w:rPr>
        <w:t>7.000,00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3C514A">
        <w:rPr>
          <w:rFonts w:ascii="Arial" w:hAnsi="Arial" w:cs="Arial"/>
          <w:sz w:val="20"/>
          <w:szCs w:val="20"/>
        </w:rPr>
        <w:t>siedem tysięcy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C15F18">
        <w:rPr>
          <w:rFonts w:ascii="Arial" w:hAnsi="Arial" w:cs="Arial"/>
          <w:sz w:val="20"/>
          <w:szCs w:val="20"/>
        </w:rPr>
        <w:t>28.08</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C15F18">
        <w:rPr>
          <w:rFonts w:ascii="Arial" w:hAnsi="Arial" w:cs="Arial"/>
          <w:b/>
          <w:sz w:val="20"/>
          <w:szCs w:val="20"/>
        </w:rPr>
        <w:t>30.07</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C15F18">
        <w:rPr>
          <w:rFonts w:ascii="Arial" w:hAnsi="Arial" w:cs="Arial"/>
          <w:b/>
          <w:sz w:val="20"/>
          <w:szCs w:val="20"/>
        </w:rPr>
        <w:t>30.07</w:t>
      </w:r>
      <w:r w:rsidR="00EA6BCE" w:rsidRPr="00C53DBD">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lastRenderedPageBreak/>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lastRenderedPageBreak/>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w:t>
      </w:r>
      <w:r w:rsidR="006204E8" w:rsidRPr="00033137">
        <w:rPr>
          <w:rFonts w:ascii="Arial" w:hAnsi="Arial" w:cs="Arial"/>
          <w:sz w:val="20"/>
          <w:szCs w:val="20"/>
        </w:rPr>
        <w:lastRenderedPageBreak/>
        <w:t xml:space="preserve">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193" w:type="dxa"/>
          </w:tcPr>
          <w:p w:rsidR="00760056"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Wykaz robót budowlanych</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D70A4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D70A43" w:rsidRDefault="00D70A43" w:rsidP="00D70A43">
            <w:pPr>
              <w:suppressAutoHyphens/>
              <w:spacing w:line="360" w:lineRule="auto"/>
              <w:rPr>
                <w:rFonts w:ascii="Arial" w:hAnsi="Arial" w:cs="Arial"/>
                <w:sz w:val="20"/>
                <w:szCs w:val="20"/>
              </w:rPr>
            </w:pPr>
            <w:r>
              <w:rPr>
                <w:rFonts w:ascii="Arial" w:hAnsi="Arial" w:cs="Arial"/>
                <w:sz w:val="20"/>
                <w:szCs w:val="20"/>
              </w:rPr>
              <w:t>Dokumentacja projektowa</w:t>
            </w:r>
          </w:p>
          <w:p w:rsidR="006F7DEB" w:rsidRDefault="006F7DEB" w:rsidP="00D70A43">
            <w:pPr>
              <w:suppressAutoHyphens/>
              <w:spacing w:line="360" w:lineRule="auto"/>
              <w:rPr>
                <w:rFonts w:ascii="Arial" w:hAnsi="Arial" w:cs="Arial"/>
                <w:sz w:val="20"/>
                <w:szCs w:val="20"/>
              </w:rPr>
            </w:pPr>
          </w:p>
          <w:p w:rsidR="006F7DEB" w:rsidRDefault="006F7DEB" w:rsidP="00D70A43">
            <w:pPr>
              <w:suppressAutoHyphens/>
              <w:spacing w:line="360" w:lineRule="auto"/>
              <w:rPr>
                <w:rFonts w:ascii="Arial" w:hAnsi="Arial" w:cs="Arial"/>
                <w:sz w:val="20"/>
                <w:szCs w:val="20"/>
              </w:rPr>
            </w:pPr>
          </w:p>
          <w:p w:rsidR="006F7DEB" w:rsidRDefault="006F7DEB" w:rsidP="00D70A43">
            <w:pPr>
              <w:suppressAutoHyphens/>
              <w:spacing w:line="360" w:lineRule="auto"/>
              <w:rPr>
                <w:rFonts w:ascii="Arial" w:hAnsi="Arial" w:cs="Arial"/>
                <w:sz w:val="20"/>
                <w:szCs w:val="20"/>
              </w:rPr>
            </w:pPr>
          </w:p>
          <w:p w:rsidR="006F7DEB" w:rsidRPr="00310357" w:rsidRDefault="006F7DEB" w:rsidP="00D70A43">
            <w:pPr>
              <w:suppressAutoHyphens/>
              <w:spacing w:line="360" w:lineRule="auto"/>
              <w:rPr>
                <w:rFonts w:ascii="Arial" w:hAnsi="Arial" w:cs="Arial"/>
                <w:sz w:val="20"/>
                <w:szCs w:val="20"/>
              </w:rPr>
            </w:pP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6F7DEB" w:rsidRPr="000C7661"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p w:rsidR="00D05F80" w:rsidRDefault="00D05F80" w:rsidP="006F7DEB">
      <w:pPr>
        <w:tabs>
          <w:tab w:val="num" w:pos="0"/>
        </w:tabs>
        <w:suppressAutoHyphens/>
        <w:spacing w:after="40" w:line="360" w:lineRule="auto"/>
        <w:ind w:left="709" w:hanging="709"/>
        <w:jc w:val="center"/>
        <w:rPr>
          <w:rFonts w:ascii="Arial" w:hAnsi="Arial" w:cs="Arial"/>
          <w:bCs/>
          <w:sz w:val="20"/>
          <w:szCs w:val="20"/>
        </w:rPr>
      </w:pPr>
    </w:p>
    <w:sectPr w:rsidR="00D05F80"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90" w:rsidRDefault="00886690">
      <w:r>
        <w:separator/>
      </w:r>
    </w:p>
  </w:endnote>
  <w:endnote w:type="continuationSeparator" w:id="0">
    <w:p w:rsidR="00886690" w:rsidRDefault="0088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63B5D">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63B5D">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90" w:rsidRDefault="00886690">
      <w:r>
        <w:separator/>
      </w:r>
    </w:p>
  </w:footnote>
  <w:footnote w:type="continuationSeparator" w:id="0">
    <w:p w:rsidR="00886690" w:rsidRDefault="0088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444F39">
    <w:pPr>
      <w:pStyle w:val="Nagwek"/>
      <w:rPr>
        <w:rFonts w:ascii="Arial" w:hAnsi="Arial" w:cs="Arial"/>
        <w:sz w:val="16"/>
        <w:szCs w:val="16"/>
      </w:rPr>
    </w:pPr>
    <w:r>
      <w:rPr>
        <w:rFonts w:ascii="Arial" w:hAnsi="Arial" w:cs="Arial"/>
        <w:sz w:val="16"/>
        <w:szCs w:val="16"/>
      </w:rPr>
      <w:t>Nr postępowania: ZP.271.3</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4"/>
  </w:num>
  <w:num w:numId="10">
    <w:abstractNumId w:val="22"/>
  </w:num>
  <w:num w:numId="11">
    <w:abstractNumId w:val="10"/>
  </w:num>
  <w:num w:numId="12">
    <w:abstractNumId w:val="45"/>
  </w:num>
  <w:num w:numId="13">
    <w:abstractNumId w:val="43"/>
  </w:num>
  <w:num w:numId="14">
    <w:abstractNumId w:val="30"/>
  </w:num>
  <w:num w:numId="15">
    <w:abstractNumId w:val="40"/>
    <w:lvlOverride w:ilvl="0">
      <w:startOverride w:val="1"/>
    </w:lvlOverride>
  </w:num>
  <w:num w:numId="16">
    <w:abstractNumId w:val="31"/>
    <w:lvlOverride w:ilvl="0">
      <w:startOverride w:val="1"/>
    </w:lvlOverride>
  </w:num>
  <w:num w:numId="17">
    <w:abstractNumId w:val="19"/>
  </w:num>
  <w:num w:numId="18">
    <w:abstractNumId w:val="11"/>
  </w:num>
  <w:num w:numId="19">
    <w:abstractNumId w:val="42"/>
  </w:num>
  <w:num w:numId="20">
    <w:abstractNumId w:val="26"/>
  </w:num>
  <w:num w:numId="21">
    <w:abstractNumId w:val="12"/>
  </w:num>
  <w:num w:numId="22">
    <w:abstractNumId w:val="21"/>
  </w:num>
  <w:num w:numId="23">
    <w:abstractNumId w:val="52"/>
  </w:num>
  <w:num w:numId="24">
    <w:abstractNumId w:val="53"/>
  </w:num>
  <w:num w:numId="25">
    <w:abstractNumId w:val="24"/>
  </w:num>
  <w:num w:numId="26">
    <w:abstractNumId w:val="28"/>
  </w:num>
  <w:num w:numId="27">
    <w:abstractNumId w:val="23"/>
  </w:num>
  <w:num w:numId="28">
    <w:abstractNumId w:val="44"/>
  </w:num>
  <w:num w:numId="29">
    <w:abstractNumId w:val="25"/>
  </w:num>
  <w:num w:numId="30">
    <w:abstractNumId w:val="51"/>
  </w:num>
  <w:num w:numId="31">
    <w:abstractNumId w:val="13"/>
  </w:num>
  <w:num w:numId="32">
    <w:abstractNumId w:val="38"/>
  </w:num>
  <w:num w:numId="33">
    <w:abstractNumId w:val="48"/>
  </w:num>
  <w:num w:numId="34">
    <w:abstractNumId w:val="39"/>
  </w:num>
  <w:num w:numId="35">
    <w:abstractNumId w:val="17"/>
  </w:num>
  <w:num w:numId="36">
    <w:abstractNumId w:val="15"/>
  </w:num>
  <w:num w:numId="37">
    <w:abstractNumId w:val="16"/>
  </w:num>
  <w:num w:numId="38">
    <w:abstractNumId w:val="18"/>
  </w:num>
  <w:num w:numId="39">
    <w:abstractNumId w:val="50"/>
  </w:num>
  <w:num w:numId="40">
    <w:abstractNumId w:val="46"/>
  </w:num>
  <w:num w:numId="41">
    <w:abstractNumId w:val="29"/>
  </w:num>
  <w:num w:numId="42">
    <w:abstractNumId w:val="36"/>
  </w:num>
  <w:num w:numId="43">
    <w:abstractNumId w:val="32"/>
  </w:num>
  <w:num w:numId="44">
    <w:abstractNumId w:val="41"/>
  </w:num>
  <w:num w:numId="45">
    <w:abstractNumId w:val="8"/>
  </w:num>
  <w:num w:numId="46">
    <w:abstractNumId w:val="27"/>
  </w:num>
  <w:num w:numId="47">
    <w:abstractNumId w:val="37"/>
  </w:num>
  <w:num w:numId="48">
    <w:abstractNumId w:val="35"/>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E3D9-1BC9-4E34-85BA-9B607C74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7338</Words>
  <Characters>44030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2</cp:revision>
  <cp:lastPrinted>2021-05-21T09:42:00Z</cp:lastPrinted>
  <dcterms:created xsi:type="dcterms:W3CDTF">2021-07-15T06:40:00Z</dcterms:created>
  <dcterms:modified xsi:type="dcterms:W3CDTF">2021-07-15T06:40:00Z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