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zamówień publicznych (Dz. U. z 2019 r. poz. 2019)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BC4DF3">
        <w:rPr>
          <w:rFonts w:ascii="Arial" w:hAnsi="Arial" w:cs="Arial"/>
          <w:b/>
        </w:rPr>
        <w:t>Budowa wiaty na boisku w Chocianowicach</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BC4DF3">
        <w:rPr>
          <w:rFonts w:ascii="Arial" w:hAnsi="Arial" w:cs="Arial"/>
          <w:caps/>
        </w:rPr>
        <w:t>ZP.271.4</w:t>
      </w:r>
      <w:r w:rsidR="007E1A77">
        <w:rPr>
          <w:rFonts w:ascii="Arial" w:hAnsi="Arial" w:cs="Arial"/>
          <w:caps/>
        </w:rPr>
        <w:t>.2021</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BC4DF3">
        <w:rPr>
          <w:rFonts w:cs="Arial"/>
          <w:sz w:val="24"/>
          <w:szCs w:val="24"/>
        </w:rPr>
        <w:t xml:space="preserve">sierpień </w:t>
      </w:r>
      <w:r w:rsidR="002D6DAD" w:rsidRPr="007E1A77">
        <w:rPr>
          <w:rFonts w:cs="Arial"/>
          <w:sz w:val="24"/>
          <w:szCs w:val="24"/>
        </w:rPr>
        <w:t>2021</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4922BE" w:rsidRPr="004922BE">
        <w:rPr>
          <w:rFonts w:ascii="Arial" w:hAnsi="Arial" w:cs="Arial"/>
          <w:bCs/>
          <w:sz w:val="20"/>
          <w:szCs w:val="20"/>
        </w:rPr>
        <w:t>8qljq2r91x</w:t>
      </w:r>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803E43" w:rsidRPr="00803E43" w:rsidRDefault="00803E43" w:rsidP="007753CE">
      <w:pPr>
        <w:tabs>
          <w:tab w:val="left" w:pos="540"/>
        </w:tabs>
        <w:spacing w:before="240" w:line="360" w:lineRule="auto"/>
        <w:ind w:left="284"/>
        <w:jc w:val="both"/>
        <w:rPr>
          <w:rFonts w:ascii="Arial" w:hAnsi="Arial" w:cs="Arial"/>
          <w:sz w:val="20"/>
        </w:rPr>
      </w:pPr>
      <w:r w:rsidRPr="00803E43">
        <w:rPr>
          <w:rFonts w:ascii="Arial" w:hAnsi="Arial" w:cs="Arial"/>
          <w:sz w:val="20"/>
        </w:rPr>
        <w:t>a65dd463-f428-44bb-ba47-4973cd43949e</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E365C9">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71108F" w:rsidRDefault="00E04A0C" w:rsidP="00365A0C">
      <w:pPr>
        <w:pStyle w:val="Akapitzlist"/>
        <w:numPr>
          <w:ilvl w:val="0"/>
          <w:numId w:val="21"/>
        </w:numPr>
        <w:tabs>
          <w:tab w:val="clear" w:pos="595"/>
          <w:tab w:val="num" w:pos="284"/>
        </w:tabs>
        <w:spacing w:line="360" w:lineRule="auto"/>
        <w:ind w:left="426" w:hanging="426"/>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BC4DF3" w:rsidRPr="00BC4DF3">
        <w:rPr>
          <w:rFonts w:ascii="Arial" w:hAnsi="Arial" w:cs="Arial"/>
          <w:b/>
          <w:sz w:val="20"/>
        </w:rPr>
        <w:t>Budowa wiaty na boisku w Chocianowicach</w:t>
      </w:r>
      <w:r w:rsidR="00BC4DF3">
        <w:rPr>
          <w:rFonts w:ascii="Arial" w:hAnsi="Arial" w:cs="Arial"/>
          <w:b/>
          <w:sz w:val="20"/>
        </w:rPr>
        <w:t>.</w:t>
      </w:r>
    </w:p>
    <w:p w:rsidR="00E365C9" w:rsidRPr="0071108F"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F744D4" w:rsidRPr="0071108F" w:rsidRDefault="00BC4DF3" w:rsidP="00BC4DF3">
      <w:pPr>
        <w:pStyle w:val="Akapitzlist"/>
        <w:numPr>
          <w:ilvl w:val="1"/>
          <w:numId w:val="21"/>
        </w:numPr>
        <w:spacing w:line="360" w:lineRule="auto"/>
        <w:ind w:left="709" w:hanging="283"/>
        <w:jc w:val="both"/>
        <w:rPr>
          <w:rFonts w:ascii="Arial" w:hAnsi="Arial" w:cs="Arial"/>
          <w:sz w:val="20"/>
          <w:szCs w:val="20"/>
        </w:rPr>
      </w:pPr>
      <w:r w:rsidRPr="00BC4DF3">
        <w:rPr>
          <w:rFonts w:ascii="Arial" w:hAnsi="Arial" w:cs="Arial"/>
          <w:sz w:val="20"/>
          <w:szCs w:val="20"/>
        </w:rPr>
        <w:t>Budow</w:t>
      </w:r>
      <w:r w:rsidR="00365A0C">
        <w:rPr>
          <w:rFonts w:ascii="Arial" w:hAnsi="Arial" w:cs="Arial"/>
          <w:sz w:val="20"/>
          <w:szCs w:val="20"/>
        </w:rPr>
        <w:t>ę</w:t>
      </w:r>
      <w:r w:rsidRPr="00BC4DF3">
        <w:rPr>
          <w:rFonts w:ascii="Arial" w:hAnsi="Arial" w:cs="Arial"/>
          <w:sz w:val="20"/>
          <w:szCs w:val="20"/>
        </w:rPr>
        <w:t xml:space="preserve"> wiaty na boisku w Chocianowicach</w:t>
      </w:r>
      <w:r w:rsidR="00365A0C">
        <w:rPr>
          <w:rFonts w:ascii="Arial" w:hAnsi="Arial" w:cs="Arial"/>
          <w:sz w:val="20"/>
          <w:szCs w:val="20"/>
        </w:rPr>
        <w:t>. Forma architektoniczna obiektu oparta na rzucie w kształcie prostokąta o wymiarach 9,30x26,0 m. Wiata zostanie wykonana o konstrukcji stalowej – fundamenty żelbetowe, dach o konstrukcji stalowej, dwuspadowy, kryty</w:t>
      </w:r>
      <w:r w:rsidR="00F831FC">
        <w:rPr>
          <w:rFonts w:ascii="Arial" w:hAnsi="Arial" w:cs="Arial"/>
          <w:sz w:val="20"/>
          <w:szCs w:val="20"/>
        </w:rPr>
        <w:t xml:space="preserve"> </w:t>
      </w:r>
      <w:r w:rsidR="00F831FC" w:rsidRPr="00F831FC">
        <w:rPr>
          <w:rFonts w:ascii="Arial" w:hAnsi="Arial" w:cs="Arial"/>
          <w:sz w:val="20"/>
          <w:szCs w:val="20"/>
        </w:rPr>
        <w:t>płytą falistą, poliwęglanową.</w:t>
      </w:r>
    </w:p>
    <w:p w:rsidR="00613742" w:rsidRDefault="00613742" w:rsidP="00362B48">
      <w:pPr>
        <w:pStyle w:val="Akapitzlist"/>
        <w:numPr>
          <w:ilvl w:val="1"/>
          <w:numId w:val="21"/>
        </w:numPr>
        <w:spacing w:line="360" w:lineRule="auto"/>
        <w:ind w:left="709" w:hanging="283"/>
        <w:jc w:val="both"/>
        <w:rPr>
          <w:rFonts w:ascii="Arial" w:hAnsi="Arial" w:cs="Arial"/>
          <w:sz w:val="20"/>
          <w:szCs w:val="20"/>
        </w:rPr>
      </w:pPr>
      <w:r w:rsidRPr="00F744D4">
        <w:rPr>
          <w:rFonts w:ascii="Arial" w:hAnsi="Arial" w:cs="Arial"/>
          <w:sz w:val="20"/>
          <w:szCs w:val="20"/>
        </w:rPr>
        <w:t>zapewnienie pełnej obsługi geodezyjnej.</w:t>
      </w:r>
    </w:p>
    <w:p w:rsidR="00365A0C" w:rsidRDefault="00365A0C" w:rsidP="00365A0C">
      <w:pPr>
        <w:pStyle w:val="Akapitzlist"/>
        <w:spacing w:line="360" w:lineRule="auto"/>
        <w:ind w:left="709"/>
        <w:jc w:val="both"/>
        <w:rPr>
          <w:rFonts w:ascii="Arial" w:hAnsi="Arial" w:cs="Arial"/>
          <w:sz w:val="20"/>
          <w:szCs w:val="20"/>
        </w:rPr>
      </w:pPr>
      <w:r>
        <w:rPr>
          <w:rFonts w:ascii="Arial" w:hAnsi="Arial" w:cs="Arial"/>
          <w:sz w:val="20"/>
          <w:szCs w:val="20"/>
        </w:rPr>
        <w:t>Charakterystyka techniczna wiaty:</w:t>
      </w:r>
    </w:p>
    <w:p w:rsidR="00365A0C"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Powierzchnia zabudowy – 241,8 m</w:t>
      </w:r>
      <w:r>
        <w:rPr>
          <w:rFonts w:ascii="Arial" w:hAnsi="Arial" w:cs="Arial"/>
          <w:sz w:val="20"/>
          <w:szCs w:val="20"/>
          <w:vertAlign w:val="superscript"/>
        </w:rPr>
        <w:t>2</w:t>
      </w:r>
    </w:p>
    <w:p w:rsidR="00365A0C"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kubatura brutto – 964,6 m</w:t>
      </w:r>
      <w:r>
        <w:rPr>
          <w:rFonts w:ascii="Arial" w:hAnsi="Arial" w:cs="Arial"/>
          <w:sz w:val="20"/>
          <w:szCs w:val="20"/>
          <w:vertAlign w:val="superscript"/>
        </w:rPr>
        <w:t>3</w:t>
      </w:r>
    </w:p>
    <w:p w:rsidR="00365A0C" w:rsidRPr="00F744D4"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 xml:space="preserve">wysokość budynku </w:t>
      </w:r>
      <w:r w:rsidR="00371772">
        <w:rPr>
          <w:rFonts w:ascii="Arial" w:hAnsi="Arial" w:cs="Arial"/>
          <w:sz w:val="20"/>
          <w:szCs w:val="20"/>
        </w:rPr>
        <w:t>–</w:t>
      </w:r>
      <w:r>
        <w:rPr>
          <w:rFonts w:ascii="Arial" w:hAnsi="Arial" w:cs="Arial"/>
          <w:sz w:val="20"/>
          <w:szCs w:val="20"/>
        </w:rPr>
        <w:t xml:space="preserve"> </w:t>
      </w:r>
      <w:r w:rsidR="00371772">
        <w:rPr>
          <w:rFonts w:ascii="Arial" w:hAnsi="Arial" w:cs="Arial"/>
          <w:sz w:val="20"/>
          <w:szCs w:val="20"/>
        </w:rPr>
        <w:t>4,38 m</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371772" w:rsidRPr="00371772"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t>45453000-7</w:t>
      </w:r>
      <w:r>
        <w:rPr>
          <w:rFonts w:ascii="Arial" w:hAnsi="Arial" w:cs="Arial"/>
          <w:bCs/>
          <w:sz w:val="20"/>
        </w:rPr>
        <w:t xml:space="preserve"> Roboty remontowe i renowacyjne</w:t>
      </w:r>
    </w:p>
    <w:p w:rsidR="004922BE"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t>45212150-2</w:t>
      </w:r>
      <w:r w:rsidR="00E457EA" w:rsidRPr="00371772">
        <w:rPr>
          <w:rFonts w:ascii="Arial" w:hAnsi="Arial" w:cs="Arial"/>
          <w:bCs/>
          <w:sz w:val="20"/>
        </w:rPr>
        <w:t xml:space="preserve"> </w:t>
      </w:r>
      <w:r w:rsidRPr="00371772">
        <w:rPr>
          <w:rFonts w:ascii="Arial" w:hAnsi="Arial" w:cs="Arial"/>
          <w:bCs/>
          <w:sz w:val="20"/>
        </w:rPr>
        <w:t>Roboty budowlane w zakresie kin</w:t>
      </w:r>
    </w:p>
    <w:p w:rsidR="00371772" w:rsidRPr="00371772"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lastRenderedPageBreak/>
        <w:t xml:space="preserve">45110000-1 Roboty w zakresie burzenia i rozbiórki obiektów budowlanych; roboty ziemne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45111000-8 Roboty w zakresie burzenia, roboty ziemne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45262310-7 Zbrojenie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45262300-4 Betonowanie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45262400-5 Wnoszenie konstrukcji ze stali konstrukcyjnej </w:t>
      </w:r>
    </w:p>
    <w:p w:rsidR="00371772"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45261210-9 Wykonywanie pokryć dachowych </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 oraz nadzoru autorskiego.</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P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wszelkich innych prac, niezbędne badania (laboratoryjne), sprawdzenia, pomiary i odbiory instalacji, wymagane dla przedmiotu zamówienia w 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6E0608">
        <w:rPr>
          <w:rFonts w:ascii="Arial" w:hAnsi="Arial" w:cs="Arial"/>
          <w:b/>
          <w:sz w:val="20"/>
          <w:szCs w:val="20"/>
        </w:rPr>
        <w:t>7</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lastRenderedPageBreak/>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824843">
        <w:rPr>
          <w:rFonts w:ascii="Arial" w:hAnsi="Arial" w:cs="Arial"/>
          <w:sz w:val="20"/>
        </w:rPr>
        <w:t>2 miesięcy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Pr="00824843"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DD1352" w:rsidRPr="003C514A" w:rsidRDefault="003C514A" w:rsidP="003C514A">
      <w:pPr>
        <w:pStyle w:val="Teksttreci0"/>
        <w:numPr>
          <w:ilvl w:val="1"/>
          <w:numId w:val="12"/>
        </w:numPr>
        <w:spacing w:line="360" w:lineRule="auto"/>
        <w:ind w:right="20"/>
        <w:jc w:val="both"/>
        <w:rPr>
          <w:rFonts w:ascii="Arial" w:hAnsi="Arial" w:cs="Arial"/>
          <w:sz w:val="20"/>
          <w:szCs w:val="20"/>
          <w:lang w:val="pl-PL"/>
        </w:rPr>
      </w:pPr>
      <w:r w:rsidRPr="003C514A">
        <w:rPr>
          <w:rFonts w:ascii="Arial" w:hAnsi="Arial" w:cs="Arial"/>
          <w:sz w:val="20"/>
          <w:szCs w:val="20"/>
          <w:lang w:val="pl-PL"/>
        </w:rPr>
        <w:t xml:space="preserve">dysponuje co najmniej jedną osobą, posiadającą uprawnienia budowlane w specjalności </w:t>
      </w:r>
      <w:r w:rsidR="00824843">
        <w:rPr>
          <w:rFonts w:ascii="Arial" w:hAnsi="Arial" w:cs="Arial"/>
          <w:sz w:val="20"/>
          <w:szCs w:val="20"/>
          <w:lang w:val="pl-PL"/>
        </w:rPr>
        <w:t>konstrukcyjno-budowlanej</w:t>
      </w:r>
      <w:r w:rsidRPr="003C514A">
        <w:rPr>
          <w:rFonts w:ascii="Arial" w:hAnsi="Arial" w:cs="Arial"/>
          <w:sz w:val="20"/>
          <w:szCs w:val="20"/>
          <w:lang w:val="pl-PL"/>
        </w:rPr>
        <w:t>, upoważniające do sprawowania funkcji kierownika budowy</w:t>
      </w:r>
      <w:r w:rsidR="008E0C8B" w:rsidRPr="003C514A">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lastRenderedPageBreak/>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Pr="006E0608"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362B48" w:rsidRPr="003C514A" w:rsidRDefault="00933EC0" w:rsidP="00E62AC5">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0F4F5C" w:rsidRPr="000C7661">
        <w:rPr>
          <w:rFonts w:ascii="Arial" w:hAnsi="Arial" w:cs="Arial"/>
          <w:sz w:val="20"/>
          <w:szCs w:val="20"/>
        </w:rPr>
        <w:t xml:space="preserve">wykaz </w:t>
      </w:r>
      <w:r w:rsidR="00362B48">
        <w:rPr>
          <w:rFonts w:ascii="Arial" w:hAnsi="Arial" w:cs="Arial"/>
          <w:sz w:val="20"/>
          <w:szCs w:val="20"/>
        </w:rPr>
        <w:t xml:space="preserve">osób skierowanych przez Wykonawcę do realizacji zamówienia publicznego zgodnie z </w:t>
      </w:r>
      <w:r w:rsidR="00362B48" w:rsidRPr="00362B48">
        <w:rPr>
          <w:rFonts w:ascii="Arial" w:hAnsi="Arial" w:cs="Arial"/>
          <w:b/>
          <w:sz w:val="20"/>
          <w:szCs w:val="20"/>
        </w:rPr>
        <w:t xml:space="preserve">załącznikiem </w:t>
      </w:r>
      <w:r w:rsidR="006E0608">
        <w:rPr>
          <w:rFonts w:ascii="Arial" w:hAnsi="Arial" w:cs="Arial"/>
          <w:b/>
          <w:sz w:val="20"/>
          <w:szCs w:val="20"/>
        </w:rPr>
        <w:t xml:space="preserve">nr 4 </w:t>
      </w:r>
      <w:r w:rsidR="00362B48" w:rsidRPr="003C514A">
        <w:rPr>
          <w:rFonts w:ascii="Arial" w:hAnsi="Arial" w:cs="Arial"/>
          <w:b/>
          <w:sz w:val="20"/>
          <w:szCs w:val="20"/>
        </w:rPr>
        <w:t>do SWZ</w:t>
      </w:r>
      <w:r w:rsidR="00362B48" w:rsidRPr="003C514A">
        <w:rPr>
          <w:rFonts w:ascii="Arial" w:hAnsi="Arial" w:cs="Arial"/>
          <w:sz w:val="20"/>
          <w:szCs w:val="20"/>
        </w:rPr>
        <w:t>, zawierającego:</w:t>
      </w:r>
    </w:p>
    <w:p w:rsidR="00AF46DE" w:rsidRPr="003C514A" w:rsidRDefault="003C514A" w:rsidP="003C514A">
      <w:pPr>
        <w:pStyle w:val="Akapitzlist"/>
        <w:numPr>
          <w:ilvl w:val="1"/>
          <w:numId w:val="22"/>
        </w:numPr>
        <w:spacing w:line="360" w:lineRule="auto"/>
        <w:jc w:val="both"/>
        <w:rPr>
          <w:rFonts w:ascii="Arial" w:hAnsi="Arial" w:cs="Arial"/>
          <w:sz w:val="20"/>
          <w:szCs w:val="20"/>
        </w:rPr>
      </w:pPr>
      <w:r w:rsidRPr="003C514A">
        <w:rPr>
          <w:rFonts w:ascii="Arial" w:hAnsi="Arial" w:cs="Arial"/>
          <w:sz w:val="20"/>
          <w:szCs w:val="20"/>
        </w:rPr>
        <w:t xml:space="preserve">co najmniej 1 osobę, posiadającą uprawnienia budowlane w specjalności </w:t>
      </w:r>
      <w:r w:rsidR="006E0608">
        <w:rPr>
          <w:rFonts w:ascii="Arial" w:hAnsi="Arial" w:cs="Arial"/>
          <w:sz w:val="20"/>
          <w:szCs w:val="20"/>
        </w:rPr>
        <w:t>konstrukcyjno-budowlanej</w:t>
      </w:r>
      <w:r w:rsidRPr="003C514A">
        <w:rPr>
          <w:rFonts w:ascii="Arial" w:hAnsi="Arial" w:cs="Arial"/>
          <w:sz w:val="20"/>
          <w:szCs w:val="20"/>
        </w:rPr>
        <w:t>, upoważniające do sprawowania funkcji kierownika budowy.</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lastRenderedPageBreak/>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6E0608">
        <w:rPr>
          <w:rFonts w:ascii="Arial" w:hAnsi="Arial" w:cs="Arial"/>
          <w:b/>
          <w:bCs/>
          <w:sz w:val="20"/>
          <w:szCs w:val="20"/>
          <w:lang w:val="pl-PL"/>
        </w:rPr>
        <w:t>5</w:t>
      </w:r>
      <w:r w:rsidR="00A80D8B" w:rsidRPr="00A80D8B">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 xml:space="preserve">Zamawiający ocenia, czy udostępniane wykonawcy przez podmioty udostępniające zasoby zdolności techniczne lub zawodowe, pozwalają na wykazanie przez wykonawcę spełniania </w:t>
      </w:r>
      <w:r w:rsidR="00361400" w:rsidRPr="000C7661">
        <w:rPr>
          <w:rFonts w:ascii="Arial" w:hAnsi="Arial" w:cs="Arial"/>
          <w:sz w:val="20"/>
          <w:szCs w:val="20"/>
          <w:lang w:val="pl-PL"/>
        </w:rPr>
        <w:lastRenderedPageBreak/>
        <w:t>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1"/>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w:t>
      </w:r>
      <w:r w:rsidR="004D7E91" w:rsidRPr="000C7661">
        <w:rPr>
          <w:rFonts w:ascii="Arial" w:hAnsi="Arial" w:cs="Arial"/>
          <w:bCs/>
          <w:sz w:val="20"/>
          <w:szCs w:val="20"/>
        </w:rPr>
        <w:lastRenderedPageBreak/>
        <w:t xml:space="preserve">komunikacji elektronicznej </w:t>
      </w:r>
      <w:r w:rsidR="004D7E91" w:rsidRPr="007347F0">
        <w:rPr>
          <w:rFonts w:ascii="Arial" w:hAnsi="Arial" w:cs="Arial"/>
          <w:bCs/>
          <w:sz w:val="20"/>
          <w:szCs w:val="20"/>
        </w:rPr>
        <w:t>zdefiniowane w ustawie z dnia 18 lipca 2002 r. o świadczeniu usług drogą elektroniczną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P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EA1A05" w:rsidRDefault="008228F7" w:rsidP="002537BC">
      <w:pPr>
        <w:pStyle w:val="Akapitzlist"/>
        <w:numPr>
          <w:ilvl w:val="1"/>
          <w:numId w:val="18"/>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a także oświadczenie o jakim mowa w </w:t>
      </w:r>
      <w:r w:rsidR="00C6136B" w:rsidRPr="007347F0">
        <w:rPr>
          <w:rFonts w:ascii="Arial" w:hAnsi="Arial" w:cs="Arial"/>
          <w:bCs/>
          <w:sz w:val="20"/>
          <w:szCs w:val="20"/>
        </w:rPr>
        <w:t>R</w:t>
      </w:r>
      <w:r w:rsidRPr="007347F0">
        <w:rPr>
          <w:rFonts w:ascii="Arial" w:hAnsi="Arial" w:cs="Arial"/>
          <w:bCs/>
          <w:sz w:val="20"/>
          <w:szCs w:val="20"/>
        </w:rPr>
        <w:t xml:space="preserve">ozdziale </w:t>
      </w:r>
      <w:r w:rsidR="00C6136B" w:rsidRPr="007347F0">
        <w:rPr>
          <w:rFonts w:ascii="Arial" w:hAnsi="Arial" w:cs="Arial"/>
          <w:bCs/>
          <w:sz w:val="20"/>
          <w:szCs w:val="20"/>
        </w:rPr>
        <w:t>X ust. 1 SWZ</w:t>
      </w:r>
      <w:r w:rsidRPr="007347F0">
        <w:rPr>
          <w:rFonts w:ascii="Arial" w:hAnsi="Arial" w:cs="Arial"/>
          <w:bCs/>
          <w:sz w:val="20"/>
          <w:szCs w:val="20"/>
        </w:rPr>
        <w:t xml:space="preserve"> </w:t>
      </w:r>
      <w:r w:rsidR="0025493A" w:rsidRPr="007347F0">
        <w:rPr>
          <w:rFonts w:ascii="Arial" w:hAnsi="Arial" w:cs="Arial"/>
          <w:bCs/>
          <w:sz w:val="20"/>
          <w:szCs w:val="20"/>
        </w:rPr>
        <w:t>składa się, pod rygorem nieważności,</w:t>
      </w:r>
      <w:r w:rsidR="0025493A" w:rsidRPr="000C7661">
        <w:rPr>
          <w:rFonts w:ascii="Arial" w:hAnsi="Arial" w:cs="Arial"/>
          <w:bCs/>
          <w:sz w:val="20"/>
          <w:szCs w:val="20"/>
        </w:rPr>
        <w:t xml:space="preserve"> w formie elektronicznej lub w postaci elektronicznej opatrzonej podpisem zaufanym lub podpisem osobistym</w:t>
      </w:r>
      <w:r w:rsidR="0025493A" w:rsidRPr="00E75928">
        <w:rPr>
          <w:rFonts w:ascii="Arial" w:hAnsi="Arial" w:cs="Arial"/>
          <w:bCs/>
          <w:sz w:val="20"/>
          <w:szCs w:val="20"/>
        </w:rPr>
        <w:t>.</w:t>
      </w:r>
      <w:r w:rsidR="004B5D34" w:rsidRPr="00E75928">
        <w:rPr>
          <w:rFonts w:ascii="Arial" w:hAnsi="Arial" w:cs="Arial"/>
          <w:bCs/>
          <w:sz w:val="20"/>
          <w:szCs w:val="20"/>
        </w:rPr>
        <w:t xml:space="preserve"> </w:t>
      </w:r>
    </w:p>
    <w:p w:rsidR="002537BC" w:rsidRDefault="003211F4"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2537BC">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211F4">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FB61D7"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Default="00FB61D7" w:rsidP="00444F39">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444F39" w:rsidRDefault="00444F39" w:rsidP="00444F39">
      <w:pPr>
        <w:pStyle w:val="Akapitzlist"/>
        <w:spacing w:line="360" w:lineRule="auto"/>
        <w:ind w:left="448" w:right="91"/>
        <w:jc w:val="both"/>
        <w:rPr>
          <w:rFonts w:ascii="Arial" w:hAnsi="Arial" w:cs="Arial"/>
          <w:bCs/>
          <w:i/>
          <w:color w:val="FF0000"/>
          <w:sz w:val="20"/>
          <w:szCs w:val="20"/>
        </w:rPr>
      </w:pPr>
    </w:p>
    <w:p w:rsid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6F1582" w:rsidRPr="004F25A6"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p>
    <w:p w:rsidR="00F849C1" w:rsidRPr="00F849C1" w:rsidRDefault="00A86A13" w:rsidP="00F849C1">
      <w:pPr>
        <w:pStyle w:val="Akapitzlist"/>
        <w:numPr>
          <w:ilvl w:val="0"/>
          <w:numId w:val="41"/>
        </w:numPr>
        <w:spacing w:line="360" w:lineRule="auto"/>
        <w:ind w:left="868" w:right="92" w:hanging="426"/>
        <w:jc w:val="both"/>
        <w:rPr>
          <w:rFonts w:ascii="Arial" w:hAnsi="Arial" w:cs="Arial"/>
          <w:sz w:val="20"/>
          <w:szCs w:val="20"/>
        </w:rPr>
      </w:pPr>
      <w:r w:rsidRPr="003211F4">
        <w:rPr>
          <w:rFonts w:ascii="Arial" w:hAnsi="Arial" w:cs="Arial"/>
          <w:sz w:val="20"/>
          <w:szCs w:val="20"/>
        </w:rPr>
        <w:tab/>
      </w:r>
      <w:r w:rsidR="003211F4">
        <w:rPr>
          <w:rFonts w:ascii="Arial" w:hAnsi="Arial" w:cs="Arial"/>
          <w:sz w:val="20"/>
          <w:szCs w:val="20"/>
        </w:rPr>
        <w:t>Sara Marczak</w:t>
      </w:r>
      <w:r w:rsidR="004B5982" w:rsidRPr="003211F4">
        <w:rPr>
          <w:rFonts w:ascii="Arial" w:hAnsi="Arial" w:cs="Arial"/>
          <w:sz w:val="20"/>
          <w:szCs w:val="20"/>
        </w:rPr>
        <w:t>, tel.</w:t>
      </w:r>
      <w:r w:rsidR="003211F4">
        <w:rPr>
          <w:rFonts w:ascii="Arial" w:hAnsi="Arial" w:cs="Arial"/>
          <w:sz w:val="20"/>
          <w:szCs w:val="20"/>
        </w:rPr>
        <w:t xml:space="preserve"> 77 417 54 86</w:t>
      </w:r>
      <w:r w:rsidR="00F849C1">
        <w:rPr>
          <w:rFonts w:ascii="Arial" w:hAnsi="Arial" w:cs="Arial"/>
          <w:sz w:val="20"/>
          <w:szCs w:val="20"/>
        </w:rPr>
        <w:t>;</w:t>
      </w:r>
    </w:p>
    <w:p w:rsidR="00974EE8"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Zamawiający jest obowiązany udzielić wyjaśnień niezwłocznie, jednak nie później niż na 2 dni przed upływem terminu składania odpowiednio ofert, pod warunkiem że wniosek o wyjaśnienie </w:t>
      </w:r>
      <w:r w:rsidRPr="000C7661">
        <w:rPr>
          <w:rFonts w:ascii="Arial" w:hAnsi="Arial" w:cs="Arial"/>
          <w:sz w:val="20"/>
          <w:szCs w:val="20"/>
        </w:rPr>
        <w:lastRenderedPageBreak/>
        <w:t>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2" w:name="bookmark12"/>
      <w:r w:rsidRPr="000C7661">
        <w:rPr>
          <w:rFonts w:ascii="Arial" w:hAnsi="Arial" w:cs="Arial"/>
          <w:b/>
          <w:bCs/>
          <w:sz w:val="20"/>
          <w:szCs w:val="20"/>
        </w:rPr>
        <w:t>OPIS SPOSOBU PRZYGOTOWANIA OFER</w:t>
      </w:r>
      <w:bookmarkEnd w:id="2"/>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0C7661">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FB61D7"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lastRenderedPageBreak/>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ofertowa stanowić będzie wynagrodzenie kosztorysowe.</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Do wyliczenia ceny oferty służą dokumentacja projektowa, specyfikacja techniczna wykonania i odbioru robót, przedmiar robót – jako element pomocniczy.</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zaproponowana przez Wykonawcę w wycenian</w:t>
      </w:r>
      <w:r>
        <w:rPr>
          <w:rFonts w:ascii="Arial" w:hAnsi="Arial" w:cs="Arial"/>
          <w:sz w:val="20"/>
          <w:szCs w:val="20"/>
        </w:rPr>
        <w:t>ym kosztorysie  załączonym do S</w:t>
      </w:r>
      <w:r w:rsidRPr="008E0C8B">
        <w:rPr>
          <w:rFonts w:ascii="Arial" w:hAnsi="Arial" w:cs="Arial"/>
          <w:sz w:val="20"/>
          <w:szCs w:val="20"/>
        </w:rPr>
        <w:t xml:space="preserve">WZ, jest ostateczna i wyklucza możliwość żądania dodatkowej zapłaty za wykonanie robót objętych tą pozycją kosztorysową. </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kosztorysowej będzie uwzględniać  wszystkie koszty niezbędne do wykonania robót wymaganej jakości, w wymaganym terminie.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obejmować będzie w szczególności:</w:t>
      </w:r>
    </w:p>
    <w:p w:rsid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koszty bezpośrednie w tym: robociznę bezpośrednią,  wartość zużytych materiałów wraz z kosztami ich zakupu, wartość pracy sprzętu wraz z kosztami jednorazowymi,</w:t>
      </w:r>
    </w:p>
    <w:p w:rsidR="008E0C8B" w:rsidRP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Do cen jednostkowych nie należy wliczać podatku VAT.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t>Przed wstawieniem cen jednostkowych do każdej pozycji kosztorysu, wykonawca powinien zapoznać się z dokumentacją projektową, specyfikacją techniczną wykonania i odbioru robót oraz obowiązującymi przepisami.</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E62AC5">
      <w:pPr>
        <w:numPr>
          <w:ilvl w:val="3"/>
          <w:numId w:val="7"/>
        </w:numPr>
        <w:tabs>
          <w:tab w:val="clear" w:pos="2880"/>
          <w:tab w:val="num" w:pos="284"/>
        </w:tabs>
        <w:spacing w:before="240" w:line="360" w:lineRule="auto"/>
        <w:ind w:left="284"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 xml:space="preserve">: </w:t>
      </w:r>
      <w:r w:rsidR="006E0608">
        <w:rPr>
          <w:rFonts w:ascii="Arial" w:hAnsi="Arial" w:cs="Arial"/>
          <w:sz w:val="20"/>
          <w:szCs w:val="20"/>
        </w:rPr>
        <w:t>3</w:t>
      </w:r>
      <w:r w:rsidR="003C514A">
        <w:rPr>
          <w:rFonts w:ascii="Arial" w:hAnsi="Arial" w:cs="Arial"/>
          <w:sz w:val="20"/>
          <w:szCs w:val="20"/>
        </w:rPr>
        <w:t>.000,00</w:t>
      </w:r>
      <w:r w:rsidR="00D008BB" w:rsidRPr="002A197A">
        <w:rPr>
          <w:rFonts w:ascii="Arial" w:hAnsi="Arial" w:cs="Arial"/>
          <w:sz w:val="20"/>
          <w:szCs w:val="20"/>
        </w:rPr>
        <w:t xml:space="preserve"> zł</w:t>
      </w:r>
      <w:r w:rsidR="006204E8" w:rsidRPr="002A197A">
        <w:rPr>
          <w:rFonts w:ascii="Arial" w:hAnsi="Arial" w:cs="Arial"/>
          <w:sz w:val="20"/>
          <w:szCs w:val="20"/>
        </w:rPr>
        <w:t xml:space="preserve"> </w:t>
      </w:r>
      <w:r w:rsidR="003E42FE" w:rsidRPr="002A197A">
        <w:rPr>
          <w:rFonts w:ascii="Arial" w:hAnsi="Arial" w:cs="Arial"/>
          <w:sz w:val="20"/>
          <w:szCs w:val="20"/>
        </w:rPr>
        <w:t xml:space="preserve">(słownie: </w:t>
      </w:r>
      <w:r w:rsidR="006E0608">
        <w:rPr>
          <w:rFonts w:ascii="Arial" w:hAnsi="Arial" w:cs="Arial"/>
          <w:sz w:val="20"/>
          <w:szCs w:val="20"/>
        </w:rPr>
        <w:t xml:space="preserve">trzy </w:t>
      </w:r>
      <w:r w:rsidR="003C514A">
        <w:rPr>
          <w:rFonts w:ascii="Arial" w:hAnsi="Arial" w:cs="Arial"/>
          <w:sz w:val="20"/>
          <w:szCs w:val="20"/>
        </w:rPr>
        <w:t>tysi</w:t>
      </w:r>
      <w:r w:rsidR="006E0608">
        <w:rPr>
          <w:rFonts w:ascii="Arial" w:hAnsi="Arial" w:cs="Arial"/>
          <w:sz w:val="20"/>
          <w:szCs w:val="20"/>
        </w:rPr>
        <w:t>ą</w:t>
      </w:r>
      <w:r w:rsidR="003C514A">
        <w:rPr>
          <w:rFonts w:ascii="Arial" w:hAnsi="Arial" w:cs="Arial"/>
          <w:sz w:val="20"/>
          <w:szCs w:val="20"/>
        </w:rPr>
        <w:t>c</w:t>
      </w:r>
      <w:r w:rsidR="006E0608">
        <w:rPr>
          <w:rFonts w:ascii="Arial" w:hAnsi="Arial" w:cs="Arial"/>
          <w:sz w:val="20"/>
          <w:szCs w:val="20"/>
        </w:rPr>
        <w:t>e</w:t>
      </w:r>
      <w:r w:rsidR="003C514A">
        <w:rPr>
          <w:rFonts w:ascii="Arial" w:hAnsi="Arial" w:cs="Arial"/>
          <w:sz w:val="20"/>
          <w:szCs w:val="20"/>
        </w:rPr>
        <w:t xml:space="preserve"> złotych</w:t>
      </w:r>
      <w:r w:rsidR="00D008BB" w:rsidRPr="002A197A">
        <w:rPr>
          <w:rFonts w:ascii="Arial" w:hAnsi="Arial" w:cs="Arial"/>
          <w:sz w:val="20"/>
          <w:szCs w:val="20"/>
        </w:rPr>
        <w:t xml:space="preserve"> 00/100)</w:t>
      </w:r>
      <w:r w:rsidR="004E392C" w:rsidRPr="002A197A">
        <w:rPr>
          <w:rFonts w:ascii="Arial" w:hAnsi="Arial" w:cs="Arial"/>
          <w:sz w:val="20"/>
          <w:szCs w:val="20"/>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lastRenderedPageBreak/>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2A197A">
        <w:rPr>
          <w:rFonts w:ascii="Arial" w:hAnsi="Arial" w:cs="Arial"/>
          <w:sz w:val="20"/>
          <w:szCs w:val="20"/>
        </w:rPr>
        <w:t xml:space="preserve">dnia </w:t>
      </w:r>
      <w:r w:rsidR="00F831FC">
        <w:rPr>
          <w:rFonts w:ascii="Arial" w:hAnsi="Arial" w:cs="Arial"/>
          <w:sz w:val="20"/>
          <w:szCs w:val="20"/>
        </w:rPr>
        <w:t>21</w:t>
      </w:r>
      <w:r w:rsidR="006E0608">
        <w:rPr>
          <w:rFonts w:ascii="Arial" w:hAnsi="Arial" w:cs="Arial"/>
          <w:sz w:val="20"/>
          <w:szCs w:val="20"/>
        </w:rPr>
        <w:t>.09</w:t>
      </w:r>
      <w:r w:rsidR="00EA6BCE" w:rsidRPr="002A197A">
        <w:rPr>
          <w:rFonts w:ascii="Arial" w:hAnsi="Arial" w:cs="Arial"/>
          <w:sz w:val="20"/>
          <w:szCs w:val="20"/>
        </w:rPr>
        <w:t>.2021</w:t>
      </w:r>
      <w:r>
        <w:rPr>
          <w:rFonts w:ascii="Arial" w:hAnsi="Arial" w:cs="Arial"/>
          <w:caps/>
          <w:sz w:val="20"/>
        </w:rPr>
        <w:t xml:space="preserve"> </w:t>
      </w:r>
      <w:r w:rsidR="006204E8" w:rsidRPr="000C7661">
        <w:rPr>
          <w:rFonts w:ascii="Arial" w:hAnsi="Arial" w:cs="Arial"/>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lastRenderedPageBreak/>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6E0608">
        <w:rPr>
          <w:rFonts w:ascii="Arial" w:hAnsi="Arial" w:cs="Arial"/>
          <w:b/>
          <w:sz w:val="20"/>
          <w:szCs w:val="20"/>
        </w:rPr>
        <w:t>2</w:t>
      </w:r>
      <w:r w:rsidR="00F831FC">
        <w:rPr>
          <w:rFonts w:ascii="Arial" w:hAnsi="Arial" w:cs="Arial"/>
          <w:b/>
          <w:sz w:val="20"/>
          <w:szCs w:val="20"/>
        </w:rPr>
        <w:t>3</w:t>
      </w:r>
      <w:r w:rsidR="006E0608">
        <w:rPr>
          <w:rFonts w:ascii="Arial" w:hAnsi="Arial" w:cs="Arial"/>
          <w:b/>
          <w:sz w:val="20"/>
          <w:szCs w:val="20"/>
        </w:rPr>
        <w:t>.08</w:t>
      </w:r>
      <w:r w:rsidR="00EA6BCE">
        <w:rPr>
          <w:rFonts w:ascii="Arial" w:hAnsi="Arial" w:cs="Arial"/>
          <w:b/>
          <w:sz w:val="20"/>
          <w:szCs w:val="20"/>
        </w:rPr>
        <w:t>.2021</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6E0608" w:rsidRPr="006E0608">
        <w:rPr>
          <w:rFonts w:ascii="Arial" w:hAnsi="Arial" w:cs="Arial"/>
          <w:b/>
          <w:sz w:val="20"/>
          <w:szCs w:val="20"/>
        </w:rPr>
        <w:t>2</w:t>
      </w:r>
      <w:r w:rsidR="00F831FC">
        <w:rPr>
          <w:rFonts w:ascii="Arial" w:hAnsi="Arial" w:cs="Arial"/>
          <w:b/>
          <w:sz w:val="20"/>
          <w:szCs w:val="20"/>
        </w:rPr>
        <w:t>3</w:t>
      </w:r>
      <w:r w:rsidR="006E0608" w:rsidRPr="006E0608">
        <w:rPr>
          <w:rFonts w:ascii="Arial" w:hAnsi="Arial" w:cs="Arial"/>
          <w:b/>
          <w:sz w:val="20"/>
          <w:szCs w:val="20"/>
        </w:rPr>
        <w:t>.08</w:t>
      </w:r>
      <w:r w:rsidR="00EA6BCE" w:rsidRPr="006E0608">
        <w:rPr>
          <w:rFonts w:ascii="Arial" w:hAnsi="Arial" w:cs="Arial"/>
          <w:b/>
          <w:caps/>
          <w:sz w:val="20"/>
          <w:szCs w:val="20"/>
        </w:rPr>
        <w:t>.2021</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w:t>
      </w:r>
      <w:bookmarkStart w:id="3" w:name="_GoBack"/>
      <w:bookmarkEnd w:id="3"/>
      <w:r w:rsidR="00115F5C" w:rsidRPr="000C7661">
        <w:rPr>
          <w:rFonts w:ascii="Arial" w:hAnsi="Arial" w:cs="Arial"/>
          <w:sz w:val="20"/>
          <w:szCs w:val="20"/>
        </w:rPr>
        <w:t xml:space="preserve">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Pr>
          <w:rFonts w:ascii="Arial" w:hAnsi="Arial" w:cs="Arial"/>
          <w:sz w:val="20"/>
          <w:szCs w:val="20"/>
        </w:rPr>
        <w:t xml:space="preserve">60 </w:t>
      </w:r>
      <w:r w:rsidR="00A209DE" w:rsidRPr="000C7661">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E62AC5">
      <w:pPr>
        <w:pStyle w:val="Akapitzlist"/>
        <w:numPr>
          <w:ilvl w:val="0"/>
          <w:numId w:val="34"/>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lastRenderedPageBreak/>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lastRenderedPageBreak/>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lastRenderedPageBreak/>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lastRenderedPageBreak/>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760056" w:rsidTr="000D44D5">
        <w:tc>
          <w:tcPr>
            <w:tcW w:w="1985" w:type="dxa"/>
          </w:tcPr>
          <w:p w:rsidR="00760056"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6E0608" w:rsidP="00310357">
            <w:pPr>
              <w:suppressAutoHyphens/>
              <w:spacing w:line="360" w:lineRule="auto"/>
              <w:rPr>
                <w:rFonts w:ascii="Arial" w:hAnsi="Arial" w:cs="Arial"/>
                <w:sz w:val="20"/>
                <w:szCs w:val="20"/>
              </w:rPr>
            </w:pPr>
            <w:r>
              <w:rPr>
                <w:rFonts w:ascii="Arial" w:hAnsi="Arial" w:cs="Arial"/>
                <w:sz w:val="20"/>
                <w:szCs w:val="20"/>
              </w:rPr>
              <w:t>Załącznik nr 5</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6</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bl>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5359EE">
      <w:pgSz w:w="11906" w:h="16838"/>
      <w:pgMar w:top="1134"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1D7" w:rsidRDefault="00FB61D7">
      <w:r>
        <w:separator/>
      </w:r>
    </w:p>
  </w:endnote>
  <w:endnote w:type="continuationSeparator" w:id="0">
    <w:p w:rsidR="00FB61D7" w:rsidRDefault="00FB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B17EA" w:rsidRDefault="00DD135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F831FC">
      <w:rPr>
        <w:rFonts w:ascii="Arial" w:hAnsi="Arial" w:cs="Arial"/>
        <w:b/>
        <w:bCs/>
        <w:noProof/>
        <w:sz w:val="16"/>
        <w:szCs w:val="16"/>
      </w:rPr>
      <w:t>20</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F831FC">
      <w:rPr>
        <w:rFonts w:ascii="Arial" w:hAnsi="Arial" w:cs="Arial"/>
        <w:b/>
        <w:bCs/>
        <w:noProof/>
        <w:sz w:val="16"/>
        <w:szCs w:val="16"/>
      </w:rPr>
      <w:t>20</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1D7" w:rsidRDefault="00FB61D7">
      <w:r>
        <w:separator/>
      </w:r>
    </w:p>
  </w:footnote>
  <w:footnote w:type="continuationSeparator" w:id="0">
    <w:p w:rsidR="00FB61D7" w:rsidRDefault="00FB6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E1A77" w:rsidRDefault="00371772">
    <w:pPr>
      <w:pStyle w:val="Nagwek"/>
      <w:rPr>
        <w:rFonts w:ascii="Arial" w:hAnsi="Arial" w:cs="Arial"/>
        <w:sz w:val="16"/>
        <w:szCs w:val="16"/>
      </w:rPr>
    </w:pPr>
    <w:r>
      <w:rPr>
        <w:rFonts w:ascii="Arial" w:hAnsi="Arial" w:cs="Arial"/>
        <w:sz w:val="16"/>
        <w:szCs w:val="16"/>
      </w:rPr>
      <w:t>Nr postępowania: ZP.271.4</w:t>
    </w:r>
    <w:r w:rsidR="00DD1352">
      <w:rPr>
        <w:rFonts w:ascii="Arial" w:hAnsi="Arial" w:cs="Arial"/>
        <w:sz w:val="16"/>
        <w:szCs w:val="16"/>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4">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8">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8">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nsid w:val="56682399"/>
    <w:multiLevelType w:val="hybridMultilevel"/>
    <w:tmpl w:val="9EEC6F48"/>
    <w:lvl w:ilvl="0" w:tplc="F8EC01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3">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4">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6">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7">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3">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50"/>
  </w:num>
  <w:num w:numId="5">
    <w:abstractNumId w:val="34"/>
  </w:num>
  <w:num w:numId="6">
    <w:abstractNumId w:val="48"/>
  </w:num>
  <w:num w:numId="7">
    <w:abstractNumId w:val="9"/>
  </w:num>
  <w:num w:numId="8">
    <w:abstractNumId w:val="20"/>
  </w:num>
  <w:num w:numId="9">
    <w:abstractNumId w:val="14"/>
  </w:num>
  <w:num w:numId="10">
    <w:abstractNumId w:val="22"/>
  </w:num>
  <w:num w:numId="11">
    <w:abstractNumId w:val="10"/>
  </w:num>
  <w:num w:numId="12">
    <w:abstractNumId w:val="46"/>
  </w:num>
  <w:num w:numId="13">
    <w:abstractNumId w:val="44"/>
  </w:num>
  <w:num w:numId="14">
    <w:abstractNumId w:val="30"/>
  </w:num>
  <w:num w:numId="15">
    <w:abstractNumId w:val="41"/>
    <w:lvlOverride w:ilvl="0">
      <w:startOverride w:val="1"/>
    </w:lvlOverride>
  </w:num>
  <w:num w:numId="16">
    <w:abstractNumId w:val="31"/>
    <w:lvlOverride w:ilvl="0">
      <w:startOverride w:val="1"/>
    </w:lvlOverride>
  </w:num>
  <w:num w:numId="17">
    <w:abstractNumId w:val="19"/>
  </w:num>
  <w:num w:numId="18">
    <w:abstractNumId w:val="11"/>
  </w:num>
  <w:num w:numId="19">
    <w:abstractNumId w:val="43"/>
  </w:num>
  <w:num w:numId="20">
    <w:abstractNumId w:val="26"/>
  </w:num>
  <w:num w:numId="21">
    <w:abstractNumId w:val="12"/>
  </w:num>
  <w:num w:numId="22">
    <w:abstractNumId w:val="21"/>
  </w:num>
  <w:num w:numId="23">
    <w:abstractNumId w:val="53"/>
  </w:num>
  <w:num w:numId="24">
    <w:abstractNumId w:val="54"/>
  </w:num>
  <w:num w:numId="25">
    <w:abstractNumId w:val="24"/>
  </w:num>
  <w:num w:numId="26">
    <w:abstractNumId w:val="28"/>
  </w:num>
  <w:num w:numId="27">
    <w:abstractNumId w:val="23"/>
  </w:num>
  <w:num w:numId="28">
    <w:abstractNumId w:val="45"/>
  </w:num>
  <w:num w:numId="29">
    <w:abstractNumId w:val="25"/>
  </w:num>
  <w:num w:numId="30">
    <w:abstractNumId w:val="52"/>
  </w:num>
  <w:num w:numId="31">
    <w:abstractNumId w:val="13"/>
  </w:num>
  <w:num w:numId="32">
    <w:abstractNumId w:val="38"/>
  </w:num>
  <w:num w:numId="33">
    <w:abstractNumId w:val="49"/>
  </w:num>
  <w:num w:numId="34">
    <w:abstractNumId w:val="40"/>
  </w:num>
  <w:num w:numId="35">
    <w:abstractNumId w:val="17"/>
  </w:num>
  <w:num w:numId="36">
    <w:abstractNumId w:val="15"/>
  </w:num>
  <w:num w:numId="37">
    <w:abstractNumId w:val="16"/>
  </w:num>
  <w:num w:numId="38">
    <w:abstractNumId w:val="18"/>
  </w:num>
  <w:num w:numId="39">
    <w:abstractNumId w:val="51"/>
  </w:num>
  <w:num w:numId="40">
    <w:abstractNumId w:val="47"/>
  </w:num>
  <w:num w:numId="41">
    <w:abstractNumId w:val="29"/>
  </w:num>
  <w:num w:numId="42">
    <w:abstractNumId w:val="36"/>
  </w:num>
  <w:num w:numId="43">
    <w:abstractNumId w:val="32"/>
  </w:num>
  <w:num w:numId="44">
    <w:abstractNumId w:val="42"/>
  </w:num>
  <w:num w:numId="45">
    <w:abstractNumId w:val="8"/>
  </w:num>
  <w:num w:numId="46">
    <w:abstractNumId w:val="27"/>
  </w:num>
  <w:num w:numId="47">
    <w:abstractNumId w:val="37"/>
  </w:num>
  <w:num w:numId="48">
    <w:abstractNumId w:val="35"/>
  </w:num>
  <w:num w:numId="49">
    <w:abstractNumId w:val="33"/>
  </w:num>
  <w:num w:numId="50">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B13"/>
    <w:rsid w:val="001763CB"/>
    <w:rsid w:val="00176662"/>
    <w:rsid w:val="00176CFD"/>
    <w:rsid w:val="001800FC"/>
    <w:rsid w:val="00180781"/>
    <w:rsid w:val="001811A8"/>
    <w:rsid w:val="00181257"/>
    <w:rsid w:val="001813DD"/>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359EE"/>
    <w:rsid w:val="0054168E"/>
    <w:rsid w:val="00541DD9"/>
    <w:rsid w:val="00542B4C"/>
    <w:rsid w:val="00543FAE"/>
    <w:rsid w:val="005475E8"/>
    <w:rsid w:val="00547D88"/>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310"/>
    <w:rsid w:val="007159BF"/>
    <w:rsid w:val="007163F2"/>
    <w:rsid w:val="00716897"/>
    <w:rsid w:val="00716A40"/>
    <w:rsid w:val="00717649"/>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5B5E"/>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2B4"/>
    <w:rsid w:val="00CC66D0"/>
    <w:rsid w:val="00CD121C"/>
    <w:rsid w:val="00CD1EA3"/>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70501"/>
    <w:rsid w:val="00F7123F"/>
    <w:rsid w:val="00F71EBE"/>
    <w:rsid w:val="00F72EFC"/>
    <w:rsid w:val="00F744D4"/>
    <w:rsid w:val="00F74F25"/>
    <w:rsid w:val="00F757A9"/>
    <w:rsid w:val="00F7689B"/>
    <w:rsid w:val="00F8117E"/>
    <w:rsid w:val="00F82107"/>
    <w:rsid w:val="00F831FC"/>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61D7"/>
    <w:rsid w:val="00FB6892"/>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8513-B837-40BF-AEC5-E17EBED7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7080</Words>
  <Characters>42483</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49465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D.PROMNA</cp:lastModifiedBy>
  <cp:revision>7</cp:revision>
  <cp:lastPrinted>2021-08-03T10:19:00Z</cp:lastPrinted>
  <dcterms:created xsi:type="dcterms:W3CDTF">2021-07-15T06:40:00Z</dcterms:created>
  <dcterms:modified xsi:type="dcterms:W3CDTF">2021-08-12T09:28:00Z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